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63640" w14:textId="77777777" w:rsidR="00A77B3E" w:rsidRDefault="00A77B3E" w:rsidP="00C202BA">
      <w:pPr>
        <w:jc w:val="left"/>
        <w:rPr>
          <w:sz w:val="20"/>
        </w:rPr>
      </w:pPr>
    </w:p>
    <w:p w14:paraId="152C1769" w14:textId="77777777" w:rsidR="00A77B3E" w:rsidRDefault="00971D3B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ŻMIGRODZIE</w:t>
      </w:r>
    </w:p>
    <w:p w14:paraId="578AC8AC" w14:textId="77777777" w:rsidR="00A77B3E" w:rsidRDefault="00971D3B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02414ACD" w14:textId="77777777" w:rsidR="00A77B3E" w:rsidRDefault="00971D3B">
      <w:pPr>
        <w:keepNext/>
        <w:spacing w:after="480"/>
        <w:jc w:val="center"/>
      </w:pPr>
      <w:r>
        <w:rPr>
          <w:b/>
        </w:rPr>
        <w:t>w sprawie uchwalenia miejscowego planu zagospodarowania przestrzennego</w:t>
      </w:r>
      <w:r>
        <w:rPr>
          <w:b/>
        </w:rPr>
        <w:br/>
        <w:t>dla części obrębu Książęca Wieś</w:t>
      </w:r>
    </w:p>
    <w:p w14:paraId="1DDF458F" w14:textId="77777777" w:rsidR="00A77B3E" w:rsidRDefault="00971D3B">
      <w:pPr>
        <w:keepLines/>
        <w:spacing w:before="120" w:after="120"/>
        <w:ind w:firstLine="227"/>
      </w:pPr>
      <w:r>
        <w:t>Na podstawie art. 18 ust. 2 pkt 5 ustawy z dnia 8 marca 1990 r. o samorządzie gminnym (Dz. U. z 2025 r. poz. 1153) i art. 20 ust. 1 ustawy z dnia 27 marca 2003 r. o planowaniu i zagospodarowaniu przestrzennym (</w:t>
      </w:r>
      <w:proofErr w:type="spellStart"/>
      <w:r>
        <w:t>t.j</w:t>
      </w:r>
      <w:proofErr w:type="spellEnd"/>
      <w:r>
        <w:t>. Dz. U. z 2024 r. poz. 1130 ze zm.) w związku z art. 67 ust. 3 pkt. 2 ustawy z dnia 7 lipca 2023 r. o zmianie ustawy o planowaniu i zagospodarowaniu przestrzennym oraz niektórych innych ustaw (Dz. U. z 2023 r. poz. 1688) oraz w związku z Uchwałą Nr 0007.XI.94.2025 Rady Miejskiej w Żmigrodzie z dnia 29 stycznia 2025 r. w sprawie przystąpienia do sporządzenia miejscowego planu zagospodarowania przestrzennego dla części obrębu Książęca Wieś, po stwierdzeniu, że plan nie narusza Studium uwarunkowań i kierun</w:t>
      </w:r>
      <w:r>
        <w:t>ków zagospodarowania przestrzennego gminy Żmigród uchwalonego Uchwałą Nr 0007.XVI.156.2025 Rady Miejskiej w Żmigrodzie z dnia 25 września 2025 r., Rada Miejska w Żmigrodzie uchwala co następuje:</w:t>
      </w:r>
    </w:p>
    <w:p w14:paraId="197C4370" w14:textId="77777777" w:rsidR="00A77B3E" w:rsidRDefault="00971D3B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wstępne</w:t>
      </w:r>
    </w:p>
    <w:p w14:paraId="4F33EAEA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Uchwala się miejscowy plan zagospodarowania przestrzennego dla części obrębu Książęca Wieś, obejmujący obszar zawarty w granicach określonych w </w:t>
      </w:r>
      <w:r>
        <w:t>części graficznej planu miejscowego stanowiącej załącznik nr 1 do uchwały.</w:t>
      </w:r>
    </w:p>
    <w:p w14:paraId="15C7FAF0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Załącznikami do niniejszej uchwały są:</w:t>
      </w:r>
    </w:p>
    <w:p w14:paraId="33F27A31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załącznik nr 1 – część graficzna planu miejscowego;</w:t>
      </w:r>
    </w:p>
    <w:p w14:paraId="78467BB2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załącznik nr 2 – rozstrzygnięcie o sposobie realizacji, zapisanych w miejscowym planie, inwestycji z zakresu infrastruktury technicznej, które należą do zadań własnych gminy, oraz zasadach ich finansowania, zgodnie z przepisami o finansach publicznych;</w:t>
      </w:r>
    </w:p>
    <w:p w14:paraId="430449F5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załącznik nr 3 – dane przestrzenne.</w:t>
      </w:r>
    </w:p>
    <w:p w14:paraId="1696243B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niniejszej uchwale jest mowa o:</w:t>
      </w:r>
    </w:p>
    <w:p w14:paraId="18F8B850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terenie</w:t>
      </w:r>
      <w:r>
        <w:rPr>
          <w:color w:val="000000"/>
          <w:u w:color="000000"/>
        </w:rPr>
        <w:t xml:space="preserve"> – należy przez to rozumieć teren wyznaczony na części graficznej planu miejscowego liniami rozgraniczającymi, oznaczony numerem i symbolem klasy przeznaczenia terenu;</w:t>
      </w:r>
    </w:p>
    <w:p w14:paraId="18C3967A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przeznaczeniu </w:t>
      </w:r>
      <w:r>
        <w:rPr>
          <w:color w:val="000000"/>
          <w:u w:color="000000"/>
        </w:rPr>
        <w:t>– należy przez to rozumieć klasy przeznaczenia terenu, które przeważają na danym terenie wydzielonym w planie liniami rozgraniczającymi; w przypadku ustalenia więcej niż jednej klasy przeznaczenia, wszystkie wymienione klasy mogą wystąpić łącznie lub odrębnie w granicach poszczególnych działek budowlanych położonych w granicach terenu;</w:t>
      </w:r>
    </w:p>
    <w:p w14:paraId="22708FC1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przeznaczeniu uzupełniającym</w:t>
      </w:r>
      <w:r>
        <w:rPr>
          <w:color w:val="000000"/>
          <w:u w:color="000000"/>
        </w:rPr>
        <w:t xml:space="preserve"> – należy przez to rozumieć klasy przeznaczenia terenu, które uzupełniają lub wzbogacają przeznaczenie, w sposób określony zgodnie z przepisami szczegółowymi; w przypadku ustalenia więcej niż jednej klasy przeznaczenia uzupełniającego, wszystkie wymienione klasy mogą wystąpić łącznie lub odrębnie w granicach poszczególnych działek budowlanych położonych w granicach terenu;</w:t>
      </w:r>
    </w:p>
    <w:p w14:paraId="534792E3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przeznaczeniu wykluczanym</w:t>
      </w:r>
      <w:r>
        <w:rPr>
          <w:color w:val="000000"/>
          <w:u w:color="000000"/>
        </w:rPr>
        <w:t xml:space="preserve"> – należy przez to rozumieć klasy przeznaczenia terenu, które nie mogą wystąpić na danym terenie wydzielonym w planie liniami rozgraniczającymi; </w:t>
      </w:r>
    </w:p>
    <w:p w14:paraId="7BDAFC02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obowiązującej linii zabudowy</w:t>
      </w:r>
      <w:r>
        <w:rPr>
          <w:color w:val="000000"/>
          <w:u w:color="000000"/>
        </w:rPr>
        <w:t xml:space="preserve"> – należy przez to rozumieć określoną w części graficznej planu miejscowego linię, względem której należy lokalizować budynki w taki sposób, aby ich elewacja frontowa była położona na obowiązującej linii zabudowy na odcinku co najmniej 70% długości tej elewacji, przy czym zasadzie tej nie podlegają:</w:t>
      </w:r>
    </w:p>
    <w:p w14:paraId="1B02C7FF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nowe budynki, które lokalizowane będą w odległości większej niż 20 m od obowiązującej linii zabudowy określonej w części graficznej planu miejscowego,</w:t>
      </w:r>
    </w:p>
    <w:p w14:paraId="54BF516F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infrastruktury technicznej,</w:t>
      </w:r>
    </w:p>
    <w:p w14:paraId="4AA3FA52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obowiązującej linii zabudowy o więcej niż 2 m na szerokości nie więcej niż 30% szerokości elewacji frontowej budynku,</w:t>
      </w:r>
    </w:p>
    <w:p w14:paraId="0FC70451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60FD59D0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podziemne części budynków.</w:t>
      </w:r>
    </w:p>
    <w:p w14:paraId="726B57DA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nieprzekraczalnej linii zabudowy</w:t>
      </w:r>
      <w:r>
        <w:rPr>
          <w:color w:val="000000"/>
          <w:u w:color="000000"/>
        </w:rPr>
        <w:t xml:space="preserve"> – należy przez to rozumieć określoną w części graficznej planu miejscowego linię, ograniczającą obszar, na którym dopuszcza się lokalizowanie budynków, przy czym zasadzie tej nie podlegają:</w:t>
      </w:r>
    </w:p>
    <w:p w14:paraId="1B16377D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infrastruktury technicznej,</w:t>
      </w:r>
    </w:p>
    <w:p w14:paraId="3E5B8276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nieprzekraczalnej linii zabudowy o więcej niż 2 m na szerokości nie więcej niż 30% szerokości elewacji frontowej budynku,</w:t>
      </w:r>
    </w:p>
    <w:p w14:paraId="57A8D0B7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025BF33F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podziemne części budynków,</w:t>
      </w:r>
    </w:p>
    <w:p w14:paraId="1C8F678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4484070E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Obowiązującymi ustaleniami planu miejscowego, bądź wynikającymi z przepisów odrębnych są:</w:t>
      </w:r>
    </w:p>
    <w:p w14:paraId="180F807A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ustalenia oznaczone na części graficznej planu miejscowego:</w:t>
      </w:r>
    </w:p>
    <w:p w14:paraId="25C07A60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granica obszaru objętego planem miejscowym,</w:t>
      </w:r>
    </w:p>
    <w:p w14:paraId="6423753D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linia rozgraniczająca tereny o różnym przeznaczeniu lub różnych zasadach zagospodarowania,</w:t>
      </w:r>
    </w:p>
    <w:p w14:paraId="3F558020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nieprzekraczalna linia zabudowy,</w:t>
      </w:r>
    </w:p>
    <w:p w14:paraId="4E2112B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obowiązująca linia zabudowy,</w:t>
      </w:r>
    </w:p>
    <w:p w14:paraId="65D8783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symbole i oznaczenia graficzne wraz z numeracją określające przeznaczenie terenów,</w:t>
      </w:r>
    </w:p>
    <w:p w14:paraId="3C8969A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granica Parku Krajobrazowego „Dolina Baryczy”,</w:t>
      </w:r>
    </w:p>
    <w:p w14:paraId="7EA69C3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granica Obszaru Specjalnej Ochrony Siedlisk Natura 2000 „Dolina Baryczy” PLB020001,</w:t>
      </w:r>
    </w:p>
    <w:p w14:paraId="58C4739A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granica Specjalnego Obszaru Ochrony Siedlisk Natura 2000 „Ostoja nad Baryczą” PLH020041,</w:t>
      </w:r>
    </w:p>
    <w:p w14:paraId="0393B1A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obszar szczególnego zagrożenia powodzią, na którym prawdopodobieństwo wystąpienia powodzi jest średnie i wynosi 1%,</w:t>
      </w:r>
    </w:p>
    <w:p w14:paraId="54129A1F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obszar szczególnego zagrożenia powodzią, na którym prawdopodobieństwo wystąpienia powodzi jest wysokie i wynosi 10%,</w:t>
      </w:r>
    </w:p>
    <w:p w14:paraId="68AF8448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strefa „B” ochrony konserwatorskiej,</w:t>
      </w:r>
    </w:p>
    <w:p w14:paraId="3072A303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strefa „K” ochrony konserwatorskiej,</w:t>
      </w:r>
    </w:p>
    <w:p w14:paraId="38E4704C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strefa „OW” ochrony konserwatorskiej,</w:t>
      </w:r>
    </w:p>
    <w:p w14:paraId="2EB4F50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obiekt ujęty w </w:t>
      </w:r>
      <w:r>
        <w:rPr>
          <w:color w:val="000000"/>
          <w:u w:color="000000"/>
        </w:rPr>
        <w:t>gminnej ewidencji zabytków,</w:t>
      </w:r>
    </w:p>
    <w:p w14:paraId="6F287962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stanowisko archeologiczne,</w:t>
      </w:r>
    </w:p>
    <w:p w14:paraId="7EC5AA1F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p) </w:t>
      </w:r>
      <w:r>
        <w:rPr>
          <w:color w:val="000000"/>
          <w:u w:color="000000"/>
        </w:rPr>
        <w:t>pas technologiczny napowietrznej linii elektroenergetycznej niskiego napięcia,</w:t>
      </w:r>
    </w:p>
    <w:p w14:paraId="001C5B7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q) </w:t>
      </w:r>
      <w:r>
        <w:rPr>
          <w:color w:val="000000"/>
          <w:u w:color="000000"/>
        </w:rPr>
        <w:t>pas technologiczny napowietrznej linii elektroenergetycznej średniego napięcia;</w:t>
      </w:r>
    </w:p>
    <w:p w14:paraId="5AEE26AB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ustalenia nieoznaczone na części graficznej planu miejscowego, obejmujące cały obszar objęty planem miejscowym: granica Głównego Zbiornika Wód Podziemnych nr 303 Pradolina Barycz – Głogów (E).</w:t>
      </w:r>
    </w:p>
    <w:p w14:paraId="7D4E55AC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oznaczenia na części graficznej planu miejscowego,  w tym zlokalizowane poza granicą obszaru objętego planem miejscowym, są oznaczeniami informacyjnymi, niestanowiącymi ustaleń planu miejscowego.</w:t>
      </w:r>
    </w:p>
    <w:p w14:paraId="413990C2" w14:textId="77777777" w:rsidR="00A77B3E" w:rsidRDefault="00971D3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14:paraId="58734442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i kształtowania ładu przestrzennego oraz zabudowy:</w:t>
      </w:r>
    </w:p>
    <w:p w14:paraId="590E7363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obowiązującej i nieprzekraczalnej linii zabudowy – należy zachować linie zabudowy wyznaczone w części graficznej planu miejscowego;</w:t>
      </w:r>
    </w:p>
    <w:p w14:paraId="1A6D8DE2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wysokości zabudowy – wysokość określona w ustaleniach szczegółowych nie dotyczy inwestycji celu publicznego z zakresu łączności publicznej, dla których obowiązują przepisy odrębne;</w:t>
      </w:r>
    </w:p>
    <w:p w14:paraId="77E8E6AC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 xml:space="preserve">MN-UT, MW-U, ML, </w:t>
      </w:r>
      <w:r>
        <w:rPr>
          <w:b/>
          <w:color w:val="000000"/>
          <w:u w:color="000000"/>
        </w:rPr>
        <w:br/>
        <w:t xml:space="preserve">US-UK, RZM </w:t>
      </w:r>
      <w:r>
        <w:rPr>
          <w:color w:val="000000"/>
          <w:u w:color="000000"/>
        </w:rPr>
        <w:t xml:space="preserve"> dopuszcza się:</w:t>
      </w:r>
    </w:p>
    <w:p w14:paraId="3CE650F1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6ABBFC26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dojazdy i dojścia,</w:t>
      </w:r>
    </w:p>
    <w:p w14:paraId="48C52C66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parkowania,</w:t>
      </w:r>
    </w:p>
    <w:p w14:paraId="4F4522CA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elementy służące zapewnieniu dostępności osobom ze szczególnymi potrzebami,</w:t>
      </w:r>
    </w:p>
    <w:p w14:paraId="2A54822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gospodarcze, garaże, wiaty, altany, oranżerie, miejsca do gromadzenia odpadów oraz inne obiekty pełniące funkcje pomocnicze wobec przeznaczenia terenu;</w:t>
      </w:r>
    </w:p>
    <w:p w14:paraId="071161FE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>KDZ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KDD</w:t>
      </w:r>
      <w:r>
        <w:rPr>
          <w:color w:val="000000"/>
          <w:u w:color="000000"/>
        </w:rPr>
        <w:t xml:space="preserve"> dopuszcza się:</w:t>
      </w:r>
    </w:p>
    <w:p w14:paraId="40E9089E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46FC69D8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5C755224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na terenach oznaczonych w części graficznej planu miejscowego symbolem </w:t>
      </w:r>
      <w:r>
        <w:rPr>
          <w:b/>
          <w:color w:val="000000"/>
          <w:u w:color="000000"/>
        </w:rPr>
        <w:t xml:space="preserve">KR </w:t>
      </w:r>
      <w:r>
        <w:rPr>
          <w:color w:val="000000"/>
          <w:u w:color="000000"/>
        </w:rPr>
        <w:t>dopuszcza się:</w:t>
      </w:r>
    </w:p>
    <w:p w14:paraId="1BDD24A5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0DD38132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061017EF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parkowania;</w:t>
      </w:r>
    </w:p>
    <w:p w14:paraId="3272EB37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na terenach oznaczonych w części graficznej planu miejscowego symbolem </w:t>
      </w:r>
      <w:r>
        <w:rPr>
          <w:b/>
          <w:color w:val="000000"/>
          <w:u w:color="000000"/>
        </w:rPr>
        <w:t xml:space="preserve">KPR </w:t>
      </w:r>
      <w:r>
        <w:rPr>
          <w:color w:val="000000"/>
          <w:u w:color="000000"/>
        </w:rPr>
        <w:t>dopuszcza się:</w:t>
      </w:r>
    </w:p>
    <w:p w14:paraId="7DB66A1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5A107DF2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45BC9058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na terenach oznaczonych w części graficznej planu miejscowego symbolem </w:t>
      </w:r>
      <w:r>
        <w:rPr>
          <w:b/>
          <w:color w:val="000000"/>
          <w:u w:color="000000"/>
        </w:rPr>
        <w:t>WS</w:t>
      </w:r>
      <w:r>
        <w:rPr>
          <w:color w:val="000000"/>
          <w:u w:color="000000"/>
        </w:rPr>
        <w:t xml:space="preserve"> dopuszcza się:</w:t>
      </w:r>
    </w:p>
    <w:p w14:paraId="6DFA5B3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urządzenia wodne zgodnie z przepisami odrębnymi,</w:t>
      </w:r>
    </w:p>
    <w:p w14:paraId="388AC96A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obiekty mostowe,</w:t>
      </w:r>
    </w:p>
    <w:p w14:paraId="3F5DBF66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przepusty,</w:t>
      </w:r>
    </w:p>
    <w:p w14:paraId="0A84885F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obiekty i urządzenia infrastruktury technicznej;</w:t>
      </w:r>
    </w:p>
    <w:p w14:paraId="19704F99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na terenie oznaczonym w części graficznej planu miejscowego symbolem </w:t>
      </w:r>
      <w:r>
        <w:rPr>
          <w:b/>
          <w:color w:val="000000"/>
          <w:u w:color="000000"/>
        </w:rPr>
        <w:t xml:space="preserve">L </w:t>
      </w:r>
      <w:r>
        <w:rPr>
          <w:color w:val="000000"/>
          <w:u w:color="000000"/>
        </w:rPr>
        <w:t xml:space="preserve">dopuszcza się urządzenia infrastruktury technicznej; </w:t>
      </w:r>
    </w:p>
    <w:p w14:paraId="04AA6512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w zakresie geometrii dachu: dopuszcza się odstępstwo od parametrów ustalonych w przepisach szczegółowych poprzez zastosowanie dowolnych parametrów na powierzchni nie większej niż 10 % całego </w:t>
      </w:r>
      <w:r>
        <w:rPr>
          <w:color w:val="000000"/>
          <w:u w:color="000000"/>
        </w:rPr>
        <w:lastRenderedPageBreak/>
        <w:t>dachu w strefach „B” oraz „K” ochrony konserwatorskiej i nie większej niż 30 % całego dachu poza strefami ochrony konserwatorskiej.</w:t>
      </w:r>
    </w:p>
    <w:p w14:paraId="17F417C4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Ustala się następujące</w:t>
      </w:r>
      <w:r>
        <w:rPr>
          <w:b/>
          <w:color w:val="000000"/>
          <w:u w:color="000000"/>
        </w:rPr>
        <w:t xml:space="preserve"> zasady ochrony środowiska, przyrody i krajobrazu oraz zasady kształtowania krajobrazu:</w:t>
      </w:r>
    </w:p>
    <w:p w14:paraId="0A4084D6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ochrony środowiska ustala się:</w:t>
      </w:r>
    </w:p>
    <w:p w14:paraId="6834B5E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zakaz lokalizacji przedsięwzięć mogących zawsze znacząco oddziaływać na środowisko,</w:t>
      </w:r>
    </w:p>
    <w:p w14:paraId="4933F0B5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zakaz lokalizacji przedsięwzięć mogących potencjalnie znacząco oddziaływać na środowisko, z wyłączeniem inwestycji z zakresu infrastruktury technicznej,</w:t>
      </w:r>
    </w:p>
    <w:p w14:paraId="68A61EA7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wymóg zachowania wartości dopuszczalnych poziomów hałasu w środowisku, określonych w przepisach odrębnych:</w:t>
      </w:r>
    </w:p>
    <w:p w14:paraId="47F2D0C6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symbolami MN-UT, MW-U – jak dla terenów mieszkaniowo-usługowych,</w:t>
      </w:r>
    </w:p>
    <w:p w14:paraId="4940092E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symbolami ML, US-UK – jak dla terenów rekreacyjno-wypoczynkowych,</w:t>
      </w:r>
    </w:p>
    <w:p w14:paraId="38AD0DF7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RZM – jak dla terenów zabudowy zagrodowej,</w:t>
      </w:r>
    </w:p>
    <w:p w14:paraId="61FD97EB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ochrony przyrody i </w:t>
      </w:r>
      <w:r>
        <w:rPr>
          <w:color w:val="000000"/>
          <w:u w:color="000000"/>
        </w:rPr>
        <w:t>krajobrazu oraz zasad kształtowania krajobrazu, ustala się:</w:t>
      </w:r>
    </w:p>
    <w:p w14:paraId="58B9EE62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obszar objęty planem miejscowym, w zakresie wskazanym w części graficznej planu, położony jest w granicach Parku Krajobrazowego „Dolina Baryczy”, dla którego należy zachować zasady określone w przepisach odrębnych,</w:t>
      </w:r>
    </w:p>
    <w:p w14:paraId="6FFB0189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obszar objęty planem miejscowym, w zakresie wskazanym w części graficznej planu, położony jest w granicach Obszaru Specjalnej Ochrony Siedlisk Natura 2000 „Dolina Baryczy” PLB020001, dla którego należy zachować zasady określone w przepisach odrębnych,</w:t>
      </w:r>
    </w:p>
    <w:p w14:paraId="0B76E01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obszar objęty planem miejscowym, w zakresie wskazanym w części graficznej planu, położony jest w granicach Specjalnego Obszaru Ochrony Siedlisk Natura 2000 </w:t>
      </w:r>
      <w:r>
        <w:rPr>
          <w:color w:val="000000"/>
          <w:u w:color="000000"/>
        </w:rPr>
        <w:t>„Ostoja nad Baryczą” PLH020041, dla którego należy zachować zasady określone w przepisach odrębnych.</w:t>
      </w:r>
    </w:p>
    <w:p w14:paraId="6A801EAF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dziedzictwa kulturowego i zabytków, w tym krajobrazów kulturowych, oraz dóbr kultury współczesnej:</w:t>
      </w:r>
    </w:p>
    <w:p w14:paraId="5026063A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zasad ochrony dziedzictwa kulturowego i zabytków, w tym krajobrazów kulturowych ustala się:</w:t>
      </w:r>
    </w:p>
    <w:p w14:paraId="5DC9B310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strefę „B” ochrony konserwatorskiej</w:t>
      </w:r>
      <w:r>
        <w:rPr>
          <w:color w:val="000000"/>
          <w:u w:color="000000"/>
        </w:rPr>
        <w:t>, w której obowiązują następujące wymogi:</w:t>
      </w:r>
    </w:p>
    <w:p w14:paraId="1DE75E68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 inwestycjach związanych z modernizacją, rozbudową, przebudową obiektów istniejących, należy nawiązać gabarytami, sposobem kształtowania bryły i użytymi materiałami elewacyjnymi do miejscowej tradycji architektonicznej, a w przypadku rozbudowy istniejącego obiektu, powinien on tworzyć spójną kompozycję z istniejącą częścią,</w:t>
      </w:r>
    </w:p>
    <w:p w14:paraId="501D7D58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nową i przebudowaną zabudowę należy zharmonizować z historyczną kompozycją przestrzenno-architektoniczną w zakresie lokalizacji, rozplanowania, skali, ukształtowania bryły, w tym kształtu i wysokości dachu, poziomu posadowienia parteru, użytych form architektonicznych, podziałów otworów okiennych i drzwiowych, materiałów oraz przy nawiązaniu do historycznej zabudowy miejscowości,</w:t>
      </w:r>
    </w:p>
    <w:p w14:paraId="165E7057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elewacje należy kształtować w nawiązaniu do rozwiązań stosowanych w występujących na danym terenie budynkach historycznych o zachowanych walorach architektonicznych – w zakresie podziałów, detalu, kolorystyki, materiałów elewacyjnych,</w:t>
      </w:r>
    </w:p>
    <w:p w14:paraId="40086524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zakazuje się stosowania okładzin sztucznych (np. </w:t>
      </w:r>
      <w:proofErr w:type="spellStart"/>
      <w:r>
        <w:rPr>
          <w:color w:val="000000"/>
          <w:u w:color="000000"/>
        </w:rPr>
        <w:t>siding</w:t>
      </w:r>
      <w:proofErr w:type="spellEnd"/>
      <w:r>
        <w:rPr>
          <w:color w:val="000000"/>
          <w:u w:color="000000"/>
        </w:rPr>
        <w:t>, okładziny z blachy trapezowej),</w:t>
      </w:r>
    </w:p>
    <w:p w14:paraId="1D1CDE03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usunąć lub poddać odpowiedniej przebudowie elementy dysharmonizujące, nie spełniające wymagań ochrony strefy konserwatorskiej,</w:t>
      </w:r>
    </w:p>
    <w:p w14:paraId="777DDAF3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uzupełniać zieleń wysoką, w tym nasadzenia przydrożne,</w:t>
      </w:r>
    </w:p>
    <w:p w14:paraId="32458F85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zakazuje się lokalizowania urządzeń technicznych o gabarytach kolidujących z krajobrazem kulturowym obszaru,</w:t>
      </w:r>
    </w:p>
    <w:p w14:paraId="319FA2E1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naziemnych zbiorników na gaz,</w:t>
      </w:r>
    </w:p>
    <w:p w14:paraId="5438691B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elementów wysokościowych instalacji odnawialnych źródeł energii,</w:t>
      </w:r>
    </w:p>
    <w:p w14:paraId="132502B5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wolnostojących silosów, dopuszcza się silosy obudowane</w:t>
      </w:r>
      <w:r>
        <w:rPr>
          <w:color w:val="000000"/>
          <w:u w:color="000000"/>
        </w:rPr>
        <w:br/>
        <w:t>w budynkach,</w:t>
      </w:r>
    </w:p>
    <w:p w14:paraId="0DE5A1B0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strefę „K” ochrony konserwatorskiej</w:t>
      </w:r>
      <w:r>
        <w:rPr>
          <w:color w:val="000000"/>
          <w:u w:color="000000"/>
        </w:rPr>
        <w:t>, tożsamą z historycznym układem ruralistycznym wsi Książęca Wieś, ujętym w gminnej ewidencji zabytków, w której obowiązują następujące wymogi:</w:t>
      </w:r>
    </w:p>
    <w:p w14:paraId="3D789ECD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nowa zabudowa powinna nawiązywać do budownictwa regionalnego w zakresie skali, bryły, proporcji, detali, kolorystyki i użytych tradycyjnych materiałów budowlanych, starannie wpisując się w krajobraz kulturowy,</w:t>
      </w:r>
    </w:p>
    <w:p w14:paraId="5770EB59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wyeksponować elementy historycznego układu przestrzennego i kompozycje zieleni,</w:t>
      </w:r>
    </w:p>
    <w:p w14:paraId="22019D1C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wszelka działalność inwestycyjna musi uwzględniać istniejące już związki przestrzenne i planistyczne,</w:t>
      </w:r>
    </w:p>
    <w:p w14:paraId="32F5049A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przyznać pierwszeństwo wszelkim działaniom odtworzeniowym i rewaloryzacyjnym, zarówno w </w:t>
      </w:r>
      <w:r>
        <w:rPr>
          <w:color w:val="000000"/>
          <w:u w:color="000000"/>
        </w:rPr>
        <w:t>przypadku przyrodniczych elementów krajobrazu, jak i w stosunku do historycznej struktury technicznej, instalacji wodnych, sieci komunikacyjnych oraz obiektów zabytkowych znajdujących się w wojewódzkiej i gminnej ewidencji zabytków,</w:t>
      </w:r>
    </w:p>
    <w:p w14:paraId="7CBE6215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ochronę obiektów ujętych w gminnej ewidencji zabytków</w:t>
      </w:r>
      <w:r>
        <w:rPr>
          <w:color w:val="000000"/>
          <w:u w:color="000000"/>
        </w:rPr>
        <w:t>, dla których obowiązują następujące zasady:</w:t>
      </w:r>
    </w:p>
    <w:p w14:paraId="2EC5AD2D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występuje obiekt ujęty w gminnej ewidencji zabytków:</w:t>
      </w:r>
    </w:p>
    <w:p w14:paraId="70916066" w14:textId="77777777" w:rsidR="00A77B3E" w:rsidRDefault="00971D3B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stodoła, ok. 1900 r., Książęca Wieś 23,</w:t>
      </w:r>
    </w:p>
    <w:p w14:paraId="142C2D15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wyżej wymienionym zabytkowym obiekcie  obowiązują następujące wymogi:</w:t>
      </w:r>
    </w:p>
    <w:p w14:paraId="7DCA3433" w14:textId="77777777" w:rsidR="00A77B3E" w:rsidRDefault="00971D3B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lub w przypadku zniszczenia odtworzyć historyczną bryłę, kształt i geometrię dachu oraz zastosować tradycyjne materiały budowlane, w tym rodzaj, typ i kolor pokrycia dachowego,</w:t>
      </w:r>
    </w:p>
    <w:p w14:paraId="514183DC" w14:textId="77777777" w:rsidR="00A77B3E" w:rsidRDefault="00971D3B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utrzymać, a w zniszczonych fragmentach odtworzyć historyczny detal architektoniczny,</w:t>
      </w:r>
    </w:p>
    <w:p w14:paraId="596C6829" w14:textId="77777777" w:rsidR="00A77B3E" w:rsidRDefault="00971D3B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kształt, rozmiary i rozmieszczenie otworów zgodnie z historycznym wizerunkiem budynku,</w:t>
      </w:r>
    </w:p>
    <w:p w14:paraId="2EE4D38C" w14:textId="77777777" w:rsidR="00A77B3E" w:rsidRDefault="00971D3B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 lub odtworzyć oryginalną stolarkę okien i drzwi,</w:t>
      </w:r>
    </w:p>
    <w:p w14:paraId="1B9475DB" w14:textId="77777777" w:rsidR="00A77B3E" w:rsidRDefault="00971D3B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oryginalne elewacje i ich wystrój architektoniczny,</w:t>
      </w:r>
    </w:p>
    <w:p w14:paraId="297A1DCA" w14:textId="77777777" w:rsidR="00A77B3E" w:rsidRDefault="00971D3B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wskazane jest stosowanie kolorystyki nawiązującej do stosowanej w przeszłości,</w:t>
      </w:r>
    </w:p>
    <w:p w14:paraId="4CD58FF2" w14:textId="77777777" w:rsidR="00A77B3E" w:rsidRDefault="00971D3B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elementy nowoprojektowane instalacji technicznych projektować i montować z zachowaniem wartości zabytkowego obiektu,</w:t>
      </w:r>
    </w:p>
    <w:p w14:paraId="38000E48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ochronę stanowisk archeologicznych</w:t>
      </w:r>
      <w:r>
        <w:rPr>
          <w:color w:val="000000"/>
          <w:u w:color="000000"/>
        </w:rPr>
        <w:t>, dla których obowiązują następujące zasady:</w:t>
      </w:r>
    </w:p>
    <w:p w14:paraId="7530B20D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występuje następujące stanowisko archeologiczne: 2/83/72-28 AZP: Punkt osadniczy, Kultura łużycka; Ślad osadnictwa, Pradzieje,</w:t>
      </w:r>
    </w:p>
    <w:p w14:paraId="682B8B04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obrębie i zasięgu znajdującego się na terenie objętym planem chronionego stanowiska archeologicznego dla inwestycji związanych z pracami ziemnymi, wymagane jest przeprowadzenie badań archeologicznych, zgodnie z przepisami odrębnymi,</w:t>
      </w:r>
    </w:p>
    <w:p w14:paraId="698100AD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 xml:space="preserve">strefę „OW’’ ochrony konserwatorskiej, </w:t>
      </w:r>
      <w:r>
        <w:rPr>
          <w:color w:val="000000"/>
          <w:u w:color="000000"/>
        </w:rPr>
        <w:t>w obrębie której dla inwestycji związanych z pracami ziemnymi, wymagane jest przeprowadzenie badań archeologicznych, zgodnie z przepisami odrębnymi;</w:t>
      </w:r>
    </w:p>
    <w:p w14:paraId="1503E017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planie nie określa się zasad ochrony dóbr kultury współczesnej, z uwagi na brak takich dóbr.</w:t>
      </w:r>
    </w:p>
    <w:p w14:paraId="50B893C4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7.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granice i sposoby zagospodarowania terenów lub obiektów podlegających ochronie na podstawie odrębnych przepisów:</w:t>
      </w:r>
    </w:p>
    <w:p w14:paraId="5409B5FF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obszar objęty planem miejscowym w całości położony jest w granicach Głównego Zbiornika Wód Podziemnych nr 303 Pradolina Barycz-Głogów (E), na którym należy zachować zasady określone w przepisach odrębnych;</w:t>
      </w:r>
    </w:p>
    <w:p w14:paraId="1397D1C7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część obszaru objętego planem miejscowym, w zakresie wskazanym w części graficznej planu, położona jest w granicach obszarów szczególnego zagrożenia powodzią:</w:t>
      </w:r>
    </w:p>
    <w:p w14:paraId="4257867A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obszaru na którym prawdopodobieństwo wystąpienia powodzi jest średnie i wynosi 1%</w:t>
      </w:r>
    </w:p>
    <w:p w14:paraId="32CEBF3A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obszaru, na którym prawdopodobieństwo wystąpienia powodzi jest wysokie i wynosi 10%,</w:t>
      </w:r>
    </w:p>
    <w:p w14:paraId="408AE3C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przy lokalizacji obiektów budowlanych w granicach obszarów szczególnego zagrożenia powodzią wymienionych w lit. a i b obowiązują zasady określone w przepisach odrębnych oraz następujące ustalenia:</w:t>
      </w:r>
    </w:p>
    <w:p w14:paraId="2B51C6C7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 realizacji kondygnacji podziemnych,</w:t>
      </w:r>
    </w:p>
    <w:p w14:paraId="7B438693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wymóg wyniesienia poziomu posadzki parteru budynków powyżej poziomu wód powodziowych,</w:t>
      </w:r>
    </w:p>
    <w:p w14:paraId="688E9DC6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wymóg stosowania odpowiednich technologii i </w:t>
      </w:r>
      <w:r>
        <w:rPr>
          <w:color w:val="000000"/>
          <w:u w:color="000000"/>
        </w:rPr>
        <w:t>materiałów wodoodpornych,</w:t>
      </w:r>
    </w:p>
    <w:p w14:paraId="4247B62E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wymóg zabezpieczenia wszelkich instalacji i przyłączy przed uszkodzeniem w czasie zalania.</w:t>
      </w:r>
    </w:p>
    <w:p w14:paraId="5424E936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 xml:space="preserve">W planie miejscowym </w:t>
      </w:r>
      <w:r>
        <w:rPr>
          <w:b/>
          <w:color w:val="000000"/>
          <w:u w:color="000000"/>
        </w:rPr>
        <w:t>nie określa się</w:t>
      </w:r>
      <w:r>
        <w:rPr>
          <w:color w:val="000000"/>
          <w:u w:color="000000"/>
        </w:rPr>
        <w:t>:</w:t>
      </w:r>
    </w:p>
    <w:p w14:paraId="2713A90A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terenów górniczych, z uwagi na brak takich terenów;</w:t>
      </w:r>
    </w:p>
    <w:p w14:paraId="3848B81B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sposobów zagospodarowania obszarów osuwania się mas ziemnych, z uwagi na brak takich obszarów;</w:t>
      </w:r>
    </w:p>
    <w:p w14:paraId="58CBA49F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 i sposobów zagospodarowania krajobrazów priorytetowych określonych w audycie krajobrazowym oraz w planach zagospodarowania przestrzennego województwa, z uwagi na brak krajobrazów priorytetowych.</w:t>
      </w:r>
    </w:p>
    <w:p w14:paraId="1777462D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szczegółowe zasady i warunki scalania i podziału nieruchomości</w:t>
      </w:r>
      <w:r>
        <w:rPr>
          <w:color w:val="000000"/>
          <w:u w:color="000000"/>
        </w:rPr>
        <w:t>:</w:t>
      </w:r>
    </w:p>
    <w:p w14:paraId="55CBDABA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oznaczonych symbolami MN-UT, MW-U, ML, US-UK:</w:t>
      </w:r>
    </w:p>
    <w:p w14:paraId="0892FC1F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09DEEFF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48A924EF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1BFAB9DF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pozostałych terenów przeznaczonych na cele inne niż rolne i leśne, a także działek wydzielanych pod komunikację oraz obiekty i urządzenia infrastruktury technicznej:</w:t>
      </w:r>
    </w:p>
    <w:p w14:paraId="7CB959B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</w:p>
    <w:p w14:paraId="6DB34958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 m,</w:t>
      </w:r>
    </w:p>
    <w:p w14:paraId="1211B805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. </w:t>
      </w:r>
    </w:p>
    <w:p w14:paraId="4CCD65D1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modernizacji, rozbudowy i budowy systemów komunikacji i infrastruktury technicznej</w:t>
      </w:r>
      <w:r>
        <w:rPr>
          <w:color w:val="000000"/>
          <w:u w:color="000000"/>
        </w:rPr>
        <w:t>:</w:t>
      </w:r>
    </w:p>
    <w:p w14:paraId="7EC7E022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zaopatrzenia w wodę ustala się:</w:t>
      </w:r>
    </w:p>
    <w:p w14:paraId="54EE770E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wodę z sieci wodociągowej na zasadach określonych w przepisach odrębnych,</w:t>
      </w:r>
    </w:p>
    <w:p w14:paraId="5B5A33E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wodę z indywidualnych ujęć wody na zasadach określonych w przepisach odrębnych,</w:t>
      </w:r>
    </w:p>
    <w:p w14:paraId="2E86A46D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dopuszcza się wykorzystanie wód opadowych i roztopowych do celów gospodarczych na zasadach określonych w przepisach odrębnych;</w:t>
      </w:r>
    </w:p>
    <w:p w14:paraId="7E5EAC35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w zakresie odprowadzania i unieszkodliwiania ścieków ustala się:</w:t>
      </w:r>
    </w:p>
    <w:p w14:paraId="1101597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odprowadzanie ścieków do sieci kanalizacyjnej na zasadach określonych w przepisach odrębnych,</w:t>
      </w:r>
    </w:p>
    <w:p w14:paraId="7BD175B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urządzenia indywidualnego gromadzenia ścieków w </w:t>
      </w:r>
      <w:r>
        <w:rPr>
          <w:color w:val="000000"/>
          <w:u w:color="000000"/>
        </w:rPr>
        <w:t>postaci zbiorników bezodpływowych na nieczystości ciekłe lub oczyszczalni ścieków na zasadach określonych w przepisach odrębnych;</w:t>
      </w:r>
    </w:p>
    <w:p w14:paraId="2D9D6DEE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odprowadzania wód opadowych i roztopowych ustala się:</w:t>
      </w:r>
    </w:p>
    <w:p w14:paraId="0B8F20E6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stosowanie rozwiązań technicznych służących zatrzymaniu wód opadowych i roztopowych z połaci dachowych i terenów utwardzonych w obrębie posesji na zasadach określonych w przepisach odrębnych,</w:t>
      </w:r>
    </w:p>
    <w:p w14:paraId="0CEDDE71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odprowadzanie wód opadowych i roztopowych siecią kanalizacji deszczowej, na zasadach określonych w przepisach odrębnych;</w:t>
      </w:r>
    </w:p>
    <w:p w14:paraId="1C7B4216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zaopatrzenia w energię elektryczną ustala się:</w:t>
      </w:r>
    </w:p>
    <w:p w14:paraId="3FA2FFD6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elektryczną z dystrybucyjnej sieci elektroenergetycznej, na zasadach określonych w przepisach odrębnych,</w:t>
      </w:r>
    </w:p>
    <w:p w14:paraId="6B3D9745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z </w:t>
      </w:r>
      <w:r>
        <w:rPr>
          <w:color w:val="000000"/>
          <w:u w:color="000000"/>
        </w:rPr>
        <w:t>odnawialnych źródeł energii, na zasadach określonych w przepisach odrębnych,</w:t>
      </w:r>
    </w:p>
    <w:p w14:paraId="34E12CCD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terenach zabudowanych oraz przeznaczonych pod zabudowę nowe elektroenergetyczne linie średniego i niskiego napięcia należy realizować wyłącznie jako kablowe;</w:t>
      </w:r>
    </w:p>
    <w:p w14:paraId="3D807C54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zaopatrzenia w gaz ustala się:</w:t>
      </w:r>
    </w:p>
    <w:p w14:paraId="052E83C7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gaz z dystrybucyjnej sieci gazowej, na zasadach określonych w przepisach odrębnych,</w:t>
      </w:r>
    </w:p>
    <w:p w14:paraId="648213ED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gaz z indywidualnych zbiorników, na zasadach określonych w przepisach odrębnych;</w:t>
      </w:r>
    </w:p>
    <w:p w14:paraId="6D43527F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zaopatrzenia w energię cieplną ustala się:</w:t>
      </w:r>
    </w:p>
    <w:p w14:paraId="4AC0C573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cieplną z lokalnych i indywidualnych źródeł ciepła, na zasadach określonych w przepisach odrębnych,</w:t>
      </w:r>
    </w:p>
    <w:p w14:paraId="6063BB98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cieplną z odnawialnych źródeł energii, na zasadach określonych w przepisach odrębnych;</w:t>
      </w:r>
    </w:p>
    <w:p w14:paraId="6D20A8DB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zakresie gospodarowania odpadami ustala się: gospodarowanie odpadami na zasadach określonych w przepisach odrębnych;</w:t>
      </w:r>
    </w:p>
    <w:p w14:paraId="18FAD651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zakresie urządzeń infrastruktury teletechnicznej dopuszcza się lokalizację inwestycji z zakresu łączności publicznej – w rozumieniu i na zasadach określonych w przepisach odrębnych;</w:t>
      </w:r>
    </w:p>
    <w:p w14:paraId="69FCA589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Ustalenia określone w § 10 ust. 1–6 mogą występować pojedynczo lub łącznie.</w:t>
      </w:r>
    </w:p>
    <w:p w14:paraId="1C6756E2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 zakresie liczby miejsc do parkowania ustala się następujące zasady:</w:t>
      </w:r>
    </w:p>
    <w:p w14:paraId="437CD4F9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jednorodzinnej, zabudowy mieszkaniowej wielorodzinnej,  zabudowy letniskowej lub rekreacji indywidualnej oraz zabudowy zagrodowej obowiązują minimalnie 2 miejsca do parkowania na 1 lokal mieszkalny,</w:t>
      </w:r>
    </w:p>
    <w:p w14:paraId="27032921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usług:</w:t>
      </w:r>
    </w:p>
    <w:p w14:paraId="3F4D9434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usług sportu i rekreacji obowiązuje minimalnie 1 miejsce do parkowania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 </w:t>
      </w:r>
    </w:p>
    <w:p w14:paraId="1E3B7818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pozostałych usług obowiązuje minimalnie 1 miejsce do parkowania na 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 </w:t>
      </w:r>
    </w:p>
    <w:p w14:paraId="6A7AE517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pozostałych terenów ustala się brak konieczności wyznaczania miejsc do parkowania,</w:t>
      </w:r>
    </w:p>
    <w:p w14:paraId="07B3A24A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do parkowania pojazdów zaopatrzonych w kartę parkingową obowiązuje liczba miejsc w ilości co najmniej:</w:t>
      </w:r>
    </w:p>
    <w:p w14:paraId="116598D3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 miejsce do parkowania – jeżeli liczba miejsc wynosi od 6 do 15,</w:t>
      </w:r>
    </w:p>
    <w:p w14:paraId="01A48304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 miejsce do parkowania – jeżeli liczba miejsc wynosi od 16 do 40,</w:t>
      </w:r>
    </w:p>
    <w:p w14:paraId="1F42D1F3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3 miejsce do parkowania – jeżeli liczba miejsc wynosi od 41 do 100,</w:t>
      </w:r>
    </w:p>
    <w:p w14:paraId="617D122C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4% ogólnej liczby miejsc postojowych jeżeli ogólna liczba miejsc wynosi więcej niż 100,</w:t>
      </w:r>
    </w:p>
    <w:p w14:paraId="162EFE7C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 przypadku terenów o więcej niż jednym przeznaczeniu, ilość miejsc do parkowania należy obliczać jako sumę minimalnej liczby miejsc wymaganych dla każdego z realizowanych przeznaczeń,</w:t>
      </w:r>
    </w:p>
    <w:p w14:paraId="23E5AAC6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sposób realizacji miejsc do parkowania: sytuowanie miejsc do parkowania na terenie własnym inwestora w formie stanowisk postojowych lub garaży,</w:t>
      </w:r>
    </w:p>
    <w:p w14:paraId="3CD52B99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dla istniejącej zabudowy w przypadku remontu, przebudowy: dopuszcza się utrzymanie dotychczasowej ilości miejsc do parkowania;</w:t>
      </w:r>
    </w:p>
    <w:p w14:paraId="58F652DD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 zakresie powiązań układu komunikacyjnego z układem zewnętrznym oraz obsługi komunikacyjnej ustala się:</w:t>
      </w:r>
    </w:p>
    <w:p w14:paraId="7CD5D0A8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powiązanie układu komunikacyjnego objętego ustaleniami planu z zewnętrznym układem komunikacyjnym tj. drogami publicznymi, na zasadach określonych w przepisach odrębnych,</w:t>
      </w:r>
    </w:p>
    <w:p w14:paraId="31B2BE35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obsługę komunikacyjną:</w:t>
      </w:r>
    </w:p>
    <w:p w14:paraId="3137D6CA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zbiorczej oznaczonej w części graficznej planu miejscowego symbolem 1KDZ,</w:t>
      </w:r>
    </w:p>
    <w:p w14:paraId="4637CD90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dróg dojazdowych oznaczonych w części graficznej planu miejscowego symbolami 1KDD–4KDD,</w:t>
      </w:r>
    </w:p>
    <w:p w14:paraId="65D5E068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terenów komunikacji drogowej wewnętrznej oznaczonych w części graficznej planu miejscowego symbolami 1KR–5KR;</w:t>
      </w:r>
    </w:p>
    <w:p w14:paraId="590EE07A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terenu komunikacji rowerowej oznaczonej w części graficznej planu miejscowego symbolem 1KPR,</w:t>
      </w:r>
    </w:p>
    <w:p w14:paraId="2AC69B56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dojazdów, które mogą być wydzielane na terenach objętych planem, dla których należy przyjąć szerokość minimum 8 m i zapewnić widoczność przy skrzyżowaniu z drogami, a w przypadku dojazdów nieprzelotowych zakończyć je placem manewrowym o wymiarach minimum 12,5 m x 12,5 m.</w:t>
      </w:r>
    </w:p>
    <w:p w14:paraId="2042051D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szczególne warunki zagospodarowania terenów oraz ograniczenia w ich użytkowaniu, w tym zakaz zabudowy:</w:t>
      </w:r>
    </w:p>
    <w:p w14:paraId="1FCAFF55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istniejących napowietrznych linii elektroenergetycznych ustala się:</w:t>
      </w:r>
    </w:p>
    <w:p w14:paraId="49B21288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pas technologiczny napowietrznej linii elektroenergetycznej niskiego napięcia – o szerokości 7m (po 3,5m po każdej ze stron od osi linii),</w:t>
      </w:r>
    </w:p>
    <w:p w14:paraId="4F7DBD27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pas technologiczny napowietrznej linii elektroenergetycznej średniego napięcia – o szerokości 14m (po 7m po każdej ze stron od osi linii),</w:t>
      </w:r>
    </w:p>
    <w:p w14:paraId="25CE6187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pasach technologicznych napowietrznych linii elektroenergetycznych wymienionych w pkt 1) ustala się zakaz sytuowania instalacji fotowoltaicznych oraz sadzenia roślinności wysokiej i o rozbudowanym systemie korzeniowym,  zgodnie z przepisami odrębnymi;</w:t>
      </w:r>
    </w:p>
    <w:p w14:paraId="79804225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przypadku skablowania napowietrznych linii, pasy technologiczne wymienione w pkt 1) nie obowiązują.</w:t>
      </w:r>
    </w:p>
    <w:p w14:paraId="487677EF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 xml:space="preserve">W planie miejscowym nie określa się </w:t>
      </w:r>
      <w:r>
        <w:rPr>
          <w:b/>
          <w:color w:val="000000"/>
          <w:u w:color="000000"/>
        </w:rPr>
        <w:t>sposobu i terminu tymczasowego zagospodarowania, urządzania i użytkowania terenów</w:t>
      </w:r>
      <w:r>
        <w:rPr>
          <w:color w:val="000000"/>
          <w:u w:color="000000"/>
        </w:rPr>
        <w:t>, z uwagi na brak potrzeby wyznaczania. </w:t>
      </w:r>
    </w:p>
    <w:p w14:paraId="03E3D449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 xml:space="preserve">wymagania wynikające z potrzeb kształtowania przestrzeni publicznych: </w:t>
      </w:r>
    </w:p>
    <w:p w14:paraId="56539A6F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granicach planu za przestrzeń publiczną uznaje się tereny oznaczone w </w:t>
      </w:r>
      <w:r>
        <w:rPr>
          <w:color w:val="000000"/>
          <w:u w:color="000000"/>
        </w:rPr>
        <w:t>części graficznej planu miejscowego symbolami KDZ, KDD, KPR dla których obowiązują zasady ustalone w §4 pkt 4) i 6) oraz ustaleniach szczegółowych,</w:t>
      </w:r>
    </w:p>
    <w:p w14:paraId="60586AB7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na terenie oznaczonym w części graficznej planu miejscowego symbolem 1KPR należy uwzględnić trasę </w:t>
      </w:r>
      <w:r>
        <w:rPr>
          <w:color w:val="000000"/>
          <w:u w:color="000000"/>
        </w:rPr>
        <w:br/>
        <w:t xml:space="preserve">rowerową - </w:t>
      </w:r>
      <w:r>
        <w:rPr>
          <w:i/>
          <w:color w:val="000000"/>
          <w:u w:color="000000"/>
        </w:rPr>
        <w:t>Trasa Doliny Baryczy</w:t>
      </w:r>
      <w:r>
        <w:rPr>
          <w:color w:val="000000"/>
          <w:u w:color="000000"/>
        </w:rPr>
        <w:t xml:space="preserve"> ujętą w </w:t>
      </w:r>
      <w:r>
        <w:rPr>
          <w:i/>
          <w:color w:val="000000"/>
          <w:u w:color="000000"/>
        </w:rPr>
        <w:t>Koncepcji sieci głównych tras rowerowych w województwie dolnośląskim - DOLNOŚLĄSKA CYKLOSTRADA</w:t>
      </w:r>
      <w:r>
        <w:rPr>
          <w:color w:val="000000"/>
          <w:u w:color="000000"/>
        </w:rPr>
        <w:t>, przyjętej Uchwałą Nr 4422/V1/21 Zarządu Województwa Dolnośląskiego z dnia 19 października 2021 r.</w:t>
      </w:r>
    </w:p>
    <w:p w14:paraId="3B02D8E1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14. </w:t>
      </w:r>
      <w:r>
        <w:rPr>
          <w:color w:val="000000"/>
          <w:u w:color="000000"/>
        </w:rPr>
        <w:t xml:space="preserve">Ustala się </w:t>
      </w:r>
      <w:r>
        <w:rPr>
          <w:b/>
          <w:color w:val="000000"/>
          <w:u w:color="000000"/>
        </w:rPr>
        <w:t>stawki procentowe</w:t>
      </w:r>
      <w:r>
        <w:rPr>
          <w:color w:val="000000"/>
          <w:u w:color="000000"/>
        </w:rPr>
        <w:t>, na podstawie których nalicza się opłatę, o której mowa w art. 36 ust. 4 ustawy z dnia 27 marca 2003 r. o planowaniu i zagospodarowaniu przestrzennym, w wysokości 30%.</w:t>
      </w:r>
    </w:p>
    <w:p w14:paraId="774706E0" w14:textId="77777777" w:rsidR="00A77B3E" w:rsidRDefault="00971D3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szczegółowe</w:t>
      </w:r>
    </w:p>
    <w:p w14:paraId="7ADFC917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t>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jednorodzinnej lub usług turystyki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1MN-UT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11MN-UT,</w:t>
      </w:r>
      <w:r>
        <w:rPr>
          <w:color w:val="000000"/>
          <w:u w:color="000000"/>
        </w:rPr>
        <w:t xml:space="preserve"> ustala się:</w:t>
      </w:r>
    </w:p>
    <w:p w14:paraId="76327229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08528403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teren zabudowy mieszkaniowej jednorodzinnej, </w:t>
      </w:r>
      <w:r>
        <w:rPr>
          <w:color w:val="000000"/>
          <w:u w:color="000000"/>
        </w:rPr>
        <w:t>z zastrzeżeniem pkt 3,</w:t>
      </w:r>
    </w:p>
    <w:p w14:paraId="609F16F8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usług turystyki</w:t>
      </w:r>
      <w:r>
        <w:rPr>
          <w:color w:val="000000"/>
          <w:u w:color="000000"/>
        </w:rPr>
        <w:t>;</w:t>
      </w:r>
    </w:p>
    <w:p w14:paraId="5241048E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4,</w:t>
      </w:r>
    </w:p>
    <w:p w14:paraId="23589AF9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</w:t>
      </w:r>
    </w:p>
    <w:p w14:paraId="193DFEB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7A60F45D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748B7DBB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 xml:space="preserve">2, </w:t>
      </w:r>
      <w:r>
        <w:rPr>
          <w:color w:val="000000"/>
          <w:u w:color="000000"/>
          <w:vertAlign w:val="superscript"/>
        </w:rPr>
        <w:br/>
      </w:r>
      <w:r>
        <w:rPr>
          <w:color w:val="000000"/>
          <w:u w:color="000000"/>
        </w:rPr>
        <w:t>z wyjątkiem obiektów usług turystyki oraz usług gastronomii;</w:t>
      </w:r>
    </w:p>
    <w:p w14:paraId="26636925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4EC56DCF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07126EFA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693818F3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282221F5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407D7B43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28EE8937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6212CE95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068C0E89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46166088" w14:textId="77777777" w:rsidR="00A77B3E" w:rsidRDefault="00971D3B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6382152D" w14:textId="77777777" w:rsidR="00A77B3E" w:rsidRDefault="00971D3B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10733C0A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2FD2F332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4AC89B68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0CFEC13F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244846E9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03D514E4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208F23CE" w14:textId="77777777" w:rsidR="00A77B3E" w:rsidRDefault="00971D3B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2E5D596C" w14:textId="77777777" w:rsidR="00A77B3E" w:rsidRDefault="00971D3B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4E3C57EE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7C061B2D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114D85C3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6611396B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3DD4A4D3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21C3FC29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10),</w:t>
      </w:r>
    </w:p>
    <w:p w14:paraId="76AD6BA3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 pkt 1) lit. a),</w:t>
      </w:r>
    </w:p>
    <w:p w14:paraId="760735A3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 pkt 1) lit. b),</w:t>
      </w:r>
    </w:p>
    <w:p w14:paraId="0DA19DF0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dla obiektu ujętego w gminnej ewidencji zabytków obowiązują ustalenia §6 pkt 1) lit. c),</w:t>
      </w:r>
    </w:p>
    <w:p w14:paraId="0C34AD13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dla terenów znajdujących się w granicach obszarów szczególnego zagrożenia powodzią obowiązują ustalenia §7 pkt 2).</w:t>
      </w:r>
    </w:p>
    <w:p w14:paraId="5BE05DCF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wielorodzinnej lub usług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1MW-U</w:t>
      </w:r>
      <w:r>
        <w:rPr>
          <w:color w:val="000000"/>
          <w:u w:color="000000"/>
        </w:rPr>
        <w:t>, ustala się:</w:t>
      </w:r>
    </w:p>
    <w:p w14:paraId="497BB8F9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2A73FC1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teren zabudowy mieszkaniowej wielorodzinnej,</w:t>
      </w:r>
    </w:p>
    <w:p w14:paraId="3E9A5A0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teren usług, </w:t>
      </w:r>
      <w:r>
        <w:rPr>
          <w:color w:val="000000"/>
          <w:u w:color="000000"/>
        </w:rPr>
        <w:t xml:space="preserve"> z zastrzeżeniem pkt 2 i 3,</w:t>
      </w:r>
    </w:p>
    <w:p w14:paraId="427C219F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 teren usług handlu wielkopowierzchniowego;</w:t>
      </w:r>
    </w:p>
    <w:p w14:paraId="2F22A642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 xml:space="preserve">2, </w:t>
      </w:r>
      <w:r>
        <w:rPr>
          <w:color w:val="000000"/>
          <w:u w:color="000000"/>
          <w:vertAlign w:val="superscript"/>
        </w:rPr>
        <w:br/>
      </w:r>
      <w:r>
        <w:rPr>
          <w:color w:val="000000"/>
          <w:u w:color="000000"/>
        </w:rPr>
        <w:t>z wyjątkiem obiektów usług turystyki oraz usług gastronomii;</w:t>
      </w:r>
    </w:p>
    <w:p w14:paraId="5F50EF1E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zasady kształtowania zabudowy oraz wskaźniki zagospodarowania terenu:</w:t>
      </w:r>
    </w:p>
    <w:p w14:paraId="3EF23421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6CC6B4D8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1E14C106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1D3DD51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68242832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4E26EE6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46943F34" w14:textId="77777777" w:rsidR="00A77B3E" w:rsidRDefault="00971D3B">
      <w:pPr>
        <w:keepLines/>
        <w:spacing w:before="120" w:after="120"/>
        <w:ind w:left="794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404995AB" w14:textId="77777777" w:rsidR="00A77B3E" w:rsidRDefault="00971D3B">
      <w:pPr>
        <w:keepLines/>
        <w:spacing w:before="120" w:after="120"/>
        <w:ind w:left="794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61FF8A8D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23731D5D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123A3FF8" w14:textId="77777777" w:rsidR="00A77B3E" w:rsidRDefault="00971D3B">
      <w:pPr>
        <w:keepLines/>
        <w:spacing w:before="120" w:after="120"/>
        <w:ind w:left="794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5FB4D5FF" w14:textId="77777777" w:rsidR="00A77B3E" w:rsidRDefault="00971D3B">
      <w:pPr>
        <w:keepLines/>
        <w:spacing w:before="120" w:after="120"/>
        <w:ind w:left="794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37828DB9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2683D63D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2ABEA872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6F50DF6C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0C98336A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45F922AE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10),</w:t>
      </w:r>
    </w:p>
    <w:p w14:paraId="01B43765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letniskowej lub rekreacji indywidualnej</w:t>
      </w:r>
      <w:r>
        <w:rPr>
          <w:color w:val="000000"/>
          <w:u w:color="000000"/>
        </w:rPr>
        <w:t>, oznaczonego w </w:t>
      </w:r>
      <w:r>
        <w:rPr>
          <w:color w:val="000000"/>
          <w:u w:color="000000"/>
        </w:rPr>
        <w:t xml:space="preserve">części graficznej planu miejscowego symbolem </w:t>
      </w:r>
      <w:r>
        <w:rPr>
          <w:b/>
          <w:color w:val="000000"/>
          <w:u w:color="000000"/>
        </w:rPr>
        <w:t xml:space="preserve">1ML, </w:t>
      </w:r>
      <w:r>
        <w:rPr>
          <w:color w:val="000000"/>
          <w:u w:color="000000"/>
        </w:rPr>
        <w:t>ustala się:</w:t>
      </w:r>
    </w:p>
    <w:p w14:paraId="79BDCA6C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zabudowy letniskowej lub rekreacji indywidualnej</w:t>
      </w:r>
      <w:r>
        <w:rPr>
          <w:color w:val="000000"/>
          <w:u w:color="000000"/>
        </w:rPr>
        <w:t>;</w:t>
      </w:r>
    </w:p>
    <w:p w14:paraId="010B7BF0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309E638E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75E0F5C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E801A6A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0.3,</w:t>
      </w:r>
    </w:p>
    <w:p w14:paraId="138262E0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0.15,</w:t>
      </w:r>
    </w:p>
    <w:p w14:paraId="0C17E35A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0.55,</w:t>
      </w:r>
    </w:p>
    <w:p w14:paraId="0B799B1C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6 m,</w:t>
      </w:r>
    </w:p>
    <w:p w14:paraId="5340497A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lub wielospadowe o jednakowym kącie nachylenia połaci 35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644FB206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606D6ED0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61410B36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1757F4CE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245742AD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42A5B765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6A7981A5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10),</w:t>
      </w:r>
    </w:p>
    <w:p w14:paraId="526F7C9E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części terenu znajdującego się w granicach obszarów szczególnego zagrożenia powodzią obowiązują ustalenia §7 pkt 2).</w:t>
      </w:r>
    </w:p>
    <w:p w14:paraId="1A0CA5E6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sportu i rekreacji oraz usług kultury i rozrywki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1US-UK</w:t>
      </w:r>
      <w:r>
        <w:rPr>
          <w:color w:val="000000"/>
          <w:u w:color="000000"/>
        </w:rPr>
        <w:t xml:space="preserve"> ustala się:</w:t>
      </w:r>
    </w:p>
    <w:p w14:paraId="72451CA1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60682F8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teren usług sportu i rekreacji</w:t>
      </w:r>
      <w:r>
        <w:rPr>
          <w:color w:val="000000"/>
          <w:u w:color="000000"/>
        </w:rPr>
        <w:t>,</w:t>
      </w:r>
    </w:p>
    <w:p w14:paraId="17F4C66F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usług kultury i rozrywki</w:t>
      </w:r>
      <w:r>
        <w:rPr>
          <w:color w:val="000000"/>
          <w:u w:color="000000"/>
        </w:rPr>
        <w:t>;</w:t>
      </w:r>
    </w:p>
    <w:p w14:paraId="246D491F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0F9AF7F7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7278011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5168F500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428BDF43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0B00D427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39D7823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1BABF5C4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20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2F001BFF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323EDD87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30C5605B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1F0E5482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03CCC3B7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kamień,</w:t>
      </w:r>
    </w:p>
    <w:p w14:paraId="617CF7B4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1237A563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10).</w:t>
      </w:r>
    </w:p>
    <w:p w14:paraId="7BD07724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zbiorczej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1KDZ,  </w:t>
      </w:r>
      <w:r>
        <w:rPr>
          <w:color w:val="000000"/>
          <w:u w:color="000000"/>
        </w:rPr>
        <w:t>ustala się:</w:t>
      </w:r>
    </w:p>
    <w:p w14:paraId="0777986B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zbiorczej</w:t>
      </w:r>
      <w:r>
        <w:rPr>
          <w:color w:val="000000"/>
          <w:u w:color="000000"/>
        </w:rPr>
        <w:t>;</w:t>
      </w:r>
    </w:p>
    <w:p w14:paraId="121EE98F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46F2DEA0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drogi dojazdowej</w:t>
      </w:r>
      <w:r>
        <w:rPr>
          <w:color w:val="000000"/>
          <w:u w:color="000000"/>
        </w:rPr>
        <w:t>, oznaczonych w części graficznej planu miejscowego symbolami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1KDD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 xml:space="preserve">4KDD , </w:t>
      </w:r>
      <w:r>
        <w:rPr>
          <w:color w:val="000000"/>
          <w:u w:color="000000"/>
        </w:rPr>
        <w:t>ustala się:</w:t>
      </w:r>
    </w:p>
    <w:p w14:paraId="6E538B7F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dojazdowej</w:t>
      </w:r>
      <w:r>
        <w:rPr>
          <w:color w:val="000000"/>
          <w:u w:color="000000"/>
        </w:rPr>
        <w:t>;</w:t>
      </w:r>
    </w:p>
    <w:p w14:paraId="161B6C25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35107539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komunikacji drogowej wewnętrznej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1KR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5KR</w:t>
      </w:r>
      <w:r>
        <w:rPr>
          <w:color w:val="000000"/>
          <w:u w:color="000000"/>
        </w:rPr>
        <w:t xml:space="preserve"> ustala się:</w:t>
      </w:r>
    </w:p>
    <w:p w14:paraId="536DE4DF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komunikacji drogowej wewnętrznej</w:t>
      </w:r>
      <w:r>
        <w:rPr>
          <w:color w:val="000000"/>
          <w:u w:color="000000"/>
        </w:rPr>
        <w:t>;</w:t>
      </w:r>
    </w:p>
    <w:p w14:paraId="39F21EB2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18906AC8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komunikacji rowerowej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1KPR,  </w:t>
      </w:r>
      <w:r>
        <w:rPr>
          <w:color w:val="000000"/>
          <w:u w:color="000000"/>
        </w:rPr>
        <w:t>ustala się:</w:t>
      </w:r>
    </w:p>
    <w:p w14:paraId="775D4582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komunikacji rowerowej</w:t>
      </w:r>
      <w:r>
        <w:rPr>
          <w:color w:val="000000"/>
          <w:u w:color="000000"/>
        </w:rPr>
        <w:t>;</w:t>
      </w:r>
    </w:p>
    <w:p w14:paraId="504077AC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543BED9B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elektroenergetyki</w:t>
      </w:r>
      <w:r>
        <w:rPr>
          <w:color w:val="000000"/>
          <w:u w:color="000000"/>
        </w:rPr>
        <w:t>, oznaczonego w </w:t>
      </w:r>
      <w:r>
        <w:rPr>
          <w:color w:val="000000"/>
          <w:u w:color="000000"/>
        </w:rPr>
        <w:t xml:space="preserve">części graficznej planu miejscowego symbolem </w:t>
      </w:r>
      <w:r>
        <w:rPr>
          <w:b/>
          <w:color w:val="000000"/>
          <w:u w:color="000000"/>
        </w:rPr>
        <w:t>1IE</w:t>
      </w:r>
      <w:r>
        <w:rPr>
          <w:color w:val="000000"/>
          <w:u w:color="000000"/>
        </w:rPr>
        <w:t>, ustala się:</w:t>
      </w:r>
    </w:p>
    <w:p w14:paraId="1A173145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elektroenergetyki</w:t>
      </w:r>
      <w:r>
        <w:rPr>
          <w:color w:val="000000"/>
          <w:u w:color="000000"/>
        </w:rPr>
        <w:t>;</w:t>
      </w:r>
    </w:p>
    <w:p w14:paraId="06C9F55E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0CD6CDB3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279E087F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4B8BA03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0,8,</w:t>
      </w:r>
    </w:p>
    <w:p w14:paraId="6DC50909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0.8,</w:t>
      </w:r>
    </w:p>
    <w:p w14:paraId="3AF89987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0.10,</w:t>
      </w:r>
    </w:p>
    <w:p w14:paraId="6E26A23D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12 m,</w:t>
      </w:r>
    </w:p>
    <w:p w14:paraId="5B2AE1F7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40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.</w:t>
      </w:r>
    </w:p>
    <w:p w14:paraId="172B9879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zagrodowej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1RZM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5RZM,</w:t>
      </w:r>
      <w:r>
        <w:rPr>
          <w:color w:val="000000"/>
          <w:u w:color="000000"/>
        </w:rPr>
        <w:t xml:space="preserve"> ustala się:</w:t>
      </w:r>
    </w:p>
    <w:p w14:paraId="7E852854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zagrodowej</w:t>
      </w:r>
      <w:r>
        <w:rPr>
          <w:color w:val="000000"/>
          <w:u w:color="000000"/>
        </w:rPr>
        <w:t>;</w:t>
      </w:r>
    </w:p>
    <w:p w14:paraId="55691E91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3CC68ADA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27C98F6F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A905EAD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0F8D0C62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3120D70E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0.4,</w:t>
      </w:r>
    </w:p>
    <w:p w14:paraId="53E70A8D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618CB496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e) </w:t>
      </w:r>
      <w:r>
        <w:rPr>
          <w:color w:val="000000"/>
          <w:u w:color="000000"/>
        </w:rPr>
        <w:t>geometria dachu:</w:t>
      </w:r>
    </w:p>
    <w:p w14:paraId="6DF8D7E0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- 45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7E7E901A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w kolorze ceglastym czerwonym,</w:t>
      </w:r>
    </w:p>
    <w:p w14:paraId="586B2CA8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229D0293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7C787733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3481C967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72184137" w14:textId="77777777" w:rsidR="00A77B3E" w:rsidRDefault="00971D3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278AE227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pkt 10),</w:t>
      </w:r>
    </w:p>
    <w:p w14:paraId="1612BFB9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 pkt 1) lit. a),</w:t>
      </w:r>
    </w:p>
    <w:p w14:paraId="6851CF9B" w14:textId="77777777" w:rsidR="00A77B3E" w:rsidRDefault="00971D3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pkt 1) lit. b).</w:t>
      </w:r>
    </w:p>
    <w:p w14:paraId="25965E61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wód powierzchniowych śródlądowych,</w:t>
      </w:r>
      <w:r>
        <w:rPr>
          <w:color w:val="000000"/>
          <w:u w:color="000000"/>
        </w:rPr>
        <w:t xml:space="preserve"> oznaczonego w części graficznej planu miejscowego symbolem </w:t>
      </w:r>
      <w:r>
        <w:rPr>
          <w:b/>
          <w:color w:val="000000"/>
          <w:u w:color="000000"/>
        </w:rPr>
        <w:t>1WS,</w:t>
      </w:r>
      <w:r>
        <w:rPr>
          <w:color w:val="000000"/>
          <w:u w:color="000000"/>
        </w:rPr>
        <w:t xml:space="preserve"> ustala się przeznaczenie: </w:t>
      </w:r>
      <w:r>
        <w:rPr>
          <w:b/>
          <w:color w:val="000000"/>
          <w:u w:color="000000"/>
        </w:rPr>
        <w:t>teren wód powierzchniowych śródlądowych.</w:t>
      </w:r>
    </w:p>
    <w:p w14:paraId="14AF6663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lasu,</w:t>
      </w:r>
      <w:r>
        <w:rPr>
          <w:color w:val="000000"/>
          <w:u w:color="000000"/>
        </w:rPr>
        <w:t xml:space="preserve"> oznaczonego w części graficznej planu miejscowego symbolem </w:t>
      </w:r>
      <w:r>
        <w:rPr>
          <w:b/>
          <w:color w:val="000000"/>
          <w:u w:color="000000"/>
        </w:rPr>
        <w:t>1L</w:t>
      </w:r>
      <w:r>
        <w:rPr>
          <w:color w:val="000000"/>
          <w:u w:color="000000"/>
        </w:rPr>
        <w:t xml:space="preserve">, ustala się: </w:t>
      </w:r>
    </w:p>
    <w:p w14:paraId="27F7B1D1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lasu</w:t>
      </w:r>
      <w:r>
        <w:rPr>
          <w:color w:val="000000"/>
          <w:u w:color="000000"/>
        </w:rPr>
        <w:t>;</w:t>
      </w:r>
    </w:p>
    <w:p w14:paraId="646D6E33" w14:textId="77777777" w:rsidR="00A77B3E" w:rsidRDefault="00971D3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zagospodarowania terenu dopuszcza się zagospodarowanie związane z gospodarką leśną określone w przepisach odrębnych.</w:t>
      </w:r>
    </w:p>
    <w:p w14:paraId="55297B1C" w14:textId="77777777" w:rsidR="00A77B3E" w:rsidRDefault="00971D3B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14:paraId="3364C02F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Wykonanie uchwały powierza się Burmistrzowi Gminy Żmigród.</w:t>
      </w:r>
    </w:p>
    <w:p w14:paraId="3B2D8AD7" w14:textId="77777777" w:rsidR="00A77B3E" w:rsidRDefault="00971D3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>Uchwała wchodzi w życie po upływie 14 dni od dnia ogłoszenia w Dzienniku Urzędowym Województwa Dolnośląskiego.</w:t>
      </w:r>
    </w:p>
    <w:sectPr w:rsidR="00A77B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F3A9A" w14:textId="77777777" w:rsidR="00971D3B" w:rsidRDefault="00971D3B">
      <w:r>
        <w:separator/>
      </w:r>
    </w:p>
  </w:endnote>
  <w:endnote w:type="continuationSeparator" w:id="0">
    <w:p w14:paraId="64D13550" w14:textId="77777777" w:rsidR="00971D3B" w:rsidRDefault="0097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2A1D" w14:textId="77777777" w:rsidR="00C202BA" w:rsidRDefault="00C202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C4AB4" w14:paraId="6715FD7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D090EAD" w14:textId="7C169A46" w:rsidR="006C4AB4" w:rsidRDefault="00C202BA">
          <w:pPr>
            <w:jc w:val="left"/>
            <w:rPr>
              <w:sz w:val="18"/>
            </w:rPr>
          </w:pPr>
          <w:r>
            <w:rPr>
              <w:sz w:val="18"/>
            </w:rPr>
            <w:t xml:space="preserve"> 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F84DCC3" w14:textId="77777777" w:rsidR="006C4AB4" w:rsidRDefault="00971D3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202B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1AA2CF4" w14:textId="77777777" w:rsidR="006C4AB4" w:rsidRDefault="006C4AB4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15A9E" w14:textId="77777777" w:rsidR="00C202BA" w:rsidRDefault="00C202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7CF01" w14:textId="77777777" w:rsidR="00971D3B" w:rsidRDefault="00971D3B">
      <w:r>
        <w:separator/>
      </w:r>
    </w:p>
  </w:footnote>
  <w:footnote w:type="continuationSeparator" w:id="0">
    <w:p w14:paraId="326F85E8" w14:textId="77777777" w:rsidR="00971D3B" w:rsidRDefault="00971D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F8821" w14:textId="77777777" w:rsidR="00C202BA" w:rsidRDefault="00C202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32C3B" w14:textId="77777777" w:rsidR="00C202BA" w:rsidRDefault="00C202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1C883" w14:textId="77777777" w:rsidR="00C202BA" w:rsidRDefault="00C202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E651C"/>
    <w:rsid w:val="006C4AB4"/>
    <w:rsid w:val="00971D3B"/>
    <w:rsid w:val="00A77B3E"/>
    <w:rsid w:val="00C202BA"/>
    <w:rsid w:val="00CA2A55"/>
    <w:rsid w:val="00FE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35A05597"/>
  <w15:docId w15:val="{BD4DFD67-E845-405B-97EA-740B01D2F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202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202BA"/>
    <w:rPr>
      <w:sz w:val="22"/>
      <w:szCs w:val="24"/>
    </w:rPr>
  </w:style>
  <w:style w:type="paragraph" w:styleId="Stopka">
    <w:name w:val="footer"/>
    <w:basedOn w:val="Normalny"/>
    <w:link w:val="StopkaZnak"/>
    <w:rsid w:val="00C202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02BA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4896</Words>
  <Characters>29380</Characters>
  <Application>Microsoft Office Word</Application>
  <DocSecurity>0</DocSecurity>
  <Lines>244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ŻMIGRODZIE</Company>
  <LinksUpToDate>false</LinksUpToDate>
  <CharactersWithSpaces>34208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
dla części obrębu Książęca Wieś</dc:subject>
  <dc:creator>graba</dc:creator>
  <cp:lastModifiedBy>Patrycja Graba</cp:lastModifiedBy>
  <cp:revision>3</cp:revision>
  <cp:lastPrinted>2026-03-16T14:47:00Z</cp:lastPrinted>
  <dcterms:created xsi:type="dcterms:W3CDTF">2026-03-16T15:46:00Z</dcterms:created>
  <dcterms:modified xsi:type="dcterms:W3CDTF">2026-03-16T14:47:00Z</dcterms:modified>
  <cp:category>Akt prawny</cp:category>
</cp:coreProperties>
</file>