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F2F6" w14:textId="77777777" w:rsidR="00A77B3E" w:rsidRDefault="00A77B3E" w:rsidP="00F205BA">
      <w:pPr>
        <w:jc w:val="left"/>
        <w:rPr>
          <w:sz w:val="20"/>
        </w:rPr>
      </w:pPr>
    </w:p>
    <w:p w14:paraId="45089392" w14:textId="77777777" w:rsidR="00A77B3E" w:rsidRDefault="00466FB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75121776" w14:textId="77777777" w:rsidR="00A77B3E" w:rsidRDefault="00466FB3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521AF863" w14:textId="77777777" w:rsidR="00A77B3E" w:rsidRDefault="00466FB3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Niezgoda</w:t>
      </w:r>
    </w:p>
    <w:p w14:paraId="6FB7C4CE" w14:textId="77777777" w:rsidR="00A77B3E" w:rsidRDefault="00466FB3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0007.XI.98.2025 Rady Miejskiej w Żmigrodzie z dnia 29 stycznia 2025 r. w sprawie przystąpienia do sporządzenia miejscowego planu zagospodarowania przestrzennego dla części obrębu Niezgoda, po stwierdzeniu, że plan nie narusza Studium uwarunkowań i kierunków z</w:t>
      </w:r>
      <w:r>
        <w:t>agospodarowania przestrzennego gminy Żmigród uchwalonego Uchwałą Nr 0007.XVI.156.2025 Rady Miejskiej w Żmigrodzie z dnia 25 września 2025 r., Rada Miejska w Żmigrodzie uchwala co następuje:</w:t>
      </w:r>
    </w:p>
    <w:p w14:paraId="780600AD" w14:textId="77777777" w:rsidR="00A77B3E" w:rsidRDefault="00466FB3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1954F824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Niezgoda, obejmujący obszar zawarty w granicach określonych w </w:t>
      </w:r>
      <w:r>
        <w:t>części graficznej planu miejscowego stanowiącej załącznik nr 1 do uchwały.</w:t>
      </w:r>
    </w:p>
    <w:p w14:paraId="6BC04A54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4AF05CC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0223CCE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3278A3D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59334F58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2077CFB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2F67824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30FDDAD9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15C196B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3EC0BDA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0339A11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elewacji;</w:t>
      </w:r>
    </w:p>
    <w:p w14:paraId="54E4CF6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68F4C40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zasadzie tej nie podlegają:</w:t>
      </w:r>
    </w:p>
    <w:p w14:paraId="111076A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</w:t>
      </w:r>
      <w:r>
        <w:rPr>
          <w:color w:val="000000"/>
          <w:u w:color="000000"/>
        </w:rPr>
        <w:t>m od obowiązującej linii zabudowy określonej w części graficznej planu miejscowego,</w:t>
      </w:r>
    </w:p>
    <w:p w14:paraId="3FA52DDA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3EDCD2B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388CC47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0B5A117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195C4B2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04BC2A5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41B0A87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313BAFC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59D42BC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3B9F749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6F497B4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710B6799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5D924EE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50E979D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miejscowym,</w:t>
      </w:r>
    </w:p>
    <w:p w14:paraId="27F3EDF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53FE0EA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zabudowy,</w:t>
      </w:r>
    </w:p>
    <w:p w14:paraId="5484ED4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zabudowy,</w:t>
      </w:r>
    </w:p>
    <w:p w14:paraId="0A901AC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5561326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granica Głównego Zbiornika Wód Podziemnych nr 303 Pradolina Barycz – Głogów (E),</w:t>
      </w:r>
    </w:p>
    <w:p w14:paraId="0CD7133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strefa „B” ochrony konserwatorskiej,</w:t>
      </w:r>
    </w:p>
    <w:p w14:paraId="3208627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strefa „K” ochrony konserwatorskiej,</w:t>
      </w:r>
    </w:p>
    <w:p w14:paraId="06B57DD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strefa „OW” ochrony konserwatorskiej,</w:t>
      </w:r>
    </w:p>
    <w:p w14:paraId="7BAA67F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obiekt ujęty w </w:t>
      </w:r>
      <w:r>
        <w:rPr>
          <w:color w:val="000000"/>
          <w:u w:color="000000"/>
        </w:rPr>
        <w:t>gminnej ewidencji zabytków,</w:t>
      </w:r>
    </w:p>
    <w:p w14:paraId="53626E8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stanowisko archeologiczne,</w:t>
      </w:r>
    </w:p>
    <w:p w14:paraId="0237132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15E5838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20F4724C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</w:t>
      </w:r>
    </w:p>
    <w:p w14:paraId="5CD18F5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Parku Krajobrazowego „Dolina Baryczy”,</w:t>
      </w:r>
    </w:p>
    <w:p w14:paraId="6E74221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granica Obszaru Specjalnej Ochrony Siedlisk Natura 2000 „Dolina Baryczy” PLB020001,</w:t>
      </w:r>
    </w:p>
    <w:p w14:paraId="784CBC5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granica Specjalnego Obszaru Ochrony Siedlisk Natura 2000 „Ostoja nad Baryczą” PLH020041.</w:t>
      </w:r>
    </w:p>
    <w:p w14:paraId="32E377A2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w tym zlokalizowane poza granicą obszaru objętego planem miejscowym, są oznaczeniami informacyjnymi, niestanowiącymi ustaleń planu miejscowego.</w:t>
      </w:r>
    </w:p>
    <w:p w14:paraId="5B7143B6" w14:textId="77777777" w:rsidR="00A77B3E" w:rsidRDefault="00466FB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233F905C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5891DAD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6E850D2B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01572B2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 MN-U, MN-UT, MW, ML, U, US, UB, P, RZM </w:t>
      </w:r>
      <w:r>
        <w:rPr>
          <w:color w:val="000000"/>
          <w:u w:color="000000"/>
        </w:rPr>
        <w:t>dopuszcza się:</w:t>
      </w:r>
    </w:p>
    <w:p w14:paraId="081E31E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096C7AF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21B69FE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762213C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145DEF8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72BC019C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KDG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KDL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3196B48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7D97BC5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41220D2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525F9B8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38DFA99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777A149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2174E609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>WS, MN-U</w:t>
      </w:r>
      <w:r>
        <w:rPr>
          <w:color w:val="000000"/>
          <w:u w:color="000000"/>
        </w:rPr>
        <w:t xml:space="preserve"> dopuszcza się:</w:t>
      </w:r>
    </w:p>
    <w:p w14:paraId="1CA9A07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327CD93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7AA67F8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607748B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5B2E6DAC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ZN</w:t>
      </w:r>
      <w:r>
        <w:rPr>
          <w:color w:val="000000"/>
          <w:u w:color="000000"/>
        </w:rPr>
        <w:t xml:space="preserve"> dopuszcza się obiekty i urządzenia infrastruktury technicznej;</w:t>
      </w:r>
    </w:p>
    <w:p w14:paraId="1F3258B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L</w:t>
      </w:r>
      <w:r>
        <w:rPr>
          <w:color w:val="000000"/>
          <w:u w:color="000000"/>
        </w:rPr>
        <w:t xml:space="preserve"> dopuszcza się urządzenia infrastruktury technicznej;</w:t>
      </w:r>
    </w:p>
    <w:p w14:paraId="698260A2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w zakresie geometrii dachu: dopuszcza się odstępstwo od parametrów ustalonych w przepisach szczegółowych poprzez zastosowanie dowolnych parametrów na powierzchni nie większej niż 10 % całego </w:t>
      </w:r>
      <w:r>
        <w:rPr>
          <w:color w:val="000000"/>
          <w:u w:color="000000"/>
        </w:rPr>
        <w:lastRenderedPageBreak/>
        <w:t>dachu w strefach „B” oraz „K” ochrony konserwatorskiej i nie większej niż 30 % całego dachu poza strefami ochrony konserwatorskiej.</w:t>
      </w:r>
    </w:p>
    <w:p w14:paraId="49C2263B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3841772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4286001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29BD7CA5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wyłączeniem:</w:t>
      </w:r>
    </w:p>
    <w:p w14:paraId="65639211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inwestycji z zakresu infrastruktury technicznej,</w:t>
      </w:r>
    </w:p>
    <w:p w14:paraId="37E784F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zabudowy przemysłowej lub magazynowej, wraz z towarzyszącą jej infrastrukturą, w granicach terenu oznaczonego w części graficznej planu miejscowego symbolem 1P,</w:t>
      </w:r>
    </w:p>
    <w:p w14:paraId="47E5F6E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5C3E4566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MN-U, MN-UT – jak dla terenów mieszkaniowo-usługowych,</w:t>
      </w:r>
    </w:p>
    <w:p w14:paraId="5BF9447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terenu oznaczonego w części graficznej planu miejscowego symbolem MW – jak dla terenów  zabudowy mieszkaniowej wielorodzinnej,</w:t>
      </w:r>
    </w:p>
    <w:p w14:paraId="04C3ED4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</w:t>
      </w:r>
      <w:r>
        <w:rPr>
          <w:color w:val="000000"/>
          <w:u w:color="000000"/>
        </w:rPr>
        <w:t>części graficznej planu miejscowego symbolem US, ML – jak dla terenów rekreacyjno-wypoczynkowych,</w:t>
      </w:r>
    </w:p>
    <w:p w14:paraId="6B72C682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2D3663E3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ochrony przyrody i krajobrazu oraz zasad kształtowania krajobrazu, ustala się:</w:t>
      </w:r>
    </w:p>
    <w:p w14:paraId="1AA2BC4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 objęty planem miejscowym, w całości położony jest w granicach Parku Krajobrazowego „Dolina Baryczy”, dla którego należy zachować zasady określone w przepisach odrębnych,</w:t>
      </w:r>
    </w:p>
    <w:p w14:paraId="701DCE3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 objęty planem miejscowym, w całości położony jest w granicach Obszaru Specjalnej Ochrony Siedlisk Natura 2000 „Dolina Baryczy” PLB020001, dla którego należy zachować zasady określone w przepisach odrębnych,</w:t>
      </w:r>
    </w:p>
    <w:p w14:paraId="427C75A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obszar objęty planem miejscowym, w całości położony jest w granicach Specjalnego Obszaru Ochrony Siedlisk Natura 2000 „Ostoja nad Baryczą” PLH020041, dla którego należy zachować zasady określone w przepisach odrębnych.</w:t>
      </w:r>
    </w:p>
    <w:p w14:paraId="3BB9B27A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5E00B80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5C9FD55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7AC8D97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064BF9D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2BBD2CF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1373A501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</w:t>
      </w:r>
      <w:r>
        <w:rPr>
          <w:color w:val="000000"/>
          <w:u w:color="000000"/>
        </w:rPr>
        <w:t>blachy trapezowej),</w:t>
      </w:r>
    </w:p>
    <w:p w14:paraId="568DC89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18552FA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171221F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2DADC3B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7E3A2C2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18BCCAD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</w:t>
      </w:r>
      <w:r>
        <w:rPr>
          <w:color w:val="000000"/>
          <w:u w:color="000000"/>
        </w:rPr>
        <w:br/>
        <w:t>w budynkach,</w:t>
      </w:r>
    </w:p>
    <w:p w14:paraId="1DBF029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Niezgoda, ujętym w gminnej ewidencji zabytków, w której obowiązują następujące wymogi:</w:t>
      </w:r>
    </w:p>
    <w:p w14:paraId="43D3E65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3338CFB5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25851165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7CF923D5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7CE0A1E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i wojewódzkiej ewidencji zabytków</w:t>
      </w:r>
      <w:r>
        <w:rPr>
          <w:color w:val="000000"/>
          <w:u w:color="000000"/>
        </w:rPr>
        <w:t>, dla których obowiązują następujące zasady:</w:t>
      </w:r>
    </w:p>
    <w:p w14:paraId="50B0211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obiekty ujęte w gminnej i wojewódzkiej ewidencji zabytków:</w:t>
      </w:r>
    </w:p>
    <w:p w14:paraId="0FF33BAA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mieszkalny, k. XIX w., Niezgoda 50,</w:t>
      </w:r>
    </w:p>
    <w:p w14:paraId="0144B257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mieszkalny, pocz. XIX w., Niezgoda 51,</w:t>
      </w:r>
    </w:p>
    <w:p w14:paraId="437A7551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pocz. XIX w., Niezgoda 51,</w:t>
      </w:r>
    </w:p>
    <w:p w14:paraId="4BF389B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 obiektach obowiązują następujące wymogi:</w:t>
      </w:r>
    </w:p>
    <w:p w14:paraId="58F7A00D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2EC3F9C0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2F510B39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532866B1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4FF87E19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0B0A7135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2AA5B5DA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nowoprojektowane instalacji technicznych projektować i montować z zachowaniem wartości zabytkowych obiektów,</w:t>
      </w:r>
    </w:p>
    <w:p w14:paraId="323E3D7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18C9E7B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na obszarze objętym planem miejscowym występują następujące stanowiska archeologiczne:</w:t>
      </w:r>
    </w:p>
    <w:p w14:paraId="14CA0768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16/31/71-28 AZP: Ślad osadnictwa, Wczesne średniowiecze,</w:t>
      </w:r>
    </w:p>
    <w:p w14:paraId="258AEAAA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20/35/71-28 AZP: Osada otwarta, Starożytność; Ślad osadnictwa, Wczesne średniowiecze,</w:t>
      </w:r>
    </w:p>
    <w:p w14:paraId="5D5932FA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18/33/71-28 AZP: Ślad osadnictwa, Starożytność; Ślad osadnictwa, Wczesne średniowiecze,</w:t>
      </w:r>
    </w:p>
    <w:p w14:paraId="42059C01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15/30/71-28 AZP: Ślad osadnictwa, Starożytność; Ślad osadnictwa, Kultura przeworska, Okres wpływów rzymskich,</w:t>
      </w:r>
    </w:p>
    <w:p w14:paraId="6C3E9D8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392DB1E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290F1349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4263909D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granice i </w:t>
      </w:r>
      <w:r>
        <w:rPr>
          <w:b/>
          <w:color w:val="000000"/>
          <w:u w:color="000000"/>
        </w:rPr>
        <w:t xml:space="preserve">sposoby zagospodarowania terenów lub obiektów podlegających ochronie na podstawie odrębnych przepisów: </w:t>
      </w:r>
      <w:r>
        <w:rPr>
          <w:color w:val="000000"/>
          <w:u w:color="000000"/>
        </w:rPr>
        <w:t xml:space="preserve">część obszaru objętego planem miejscowym, w zakresie wskazanym w części graficznej planu, położona jest w granicach Głównego Zbiornika Wód Podziemnych </w:t>
      </w:r>
      <w:r>
        <w:rPr>
          <w:color w:val="000000"/>
          <w:u w:color="000000"/>
        </w:rPr>
        <w:br/>
        <w:t>nr 303 Pradolina Barycz-Głogów (E), na którym należy zachować zasady określone w przepisach odrębnych.</w:t>
      </w:r>
    </w:p>
    <w:p w14:paraId="00AFC09D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717CF7E3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623EA9CA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szczególnego zagrożenia powodzią oraz obszarów osuwania się mas ziemnych, z uwagi na brak takich obszarów;</w:t>
      </w:r>
    </w:p>
    <w:p w14:paraId="1904862C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priorytetowych,</w:t>
      </w:r>
    </w:p>
    <w:p w14:paraId="5D9C0D0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46AC33C9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574B7DFC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MN-U, MN-UT, MW, ML, U, UB:</w:t>
      </w:r>
    </w:p>
    <w:p w14:paraId="062D0FD5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9C5055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666AC5D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29342D16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symbolami US, P:</w:t>
      </w:r>
    </w:p>
    <w:p w14:paraId="51B25B0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2000m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425A80D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250EAB6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3ED15CD7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00E36B3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2F94DEE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 m,</w:t>
      </w:r>
    </w:p>
    <w:p w14:paraId="7D38B13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 </w:t>
      </w:r>
    </w:p>
    <w:p w14:paraId="02F37A24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51A1693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384DDD9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</w:t>
      </w:r>
      <w:r>
        <w:rPr>
          <w:color w:val="000000"/>
          <w:u w:color="000000"/>
        </w:rPr>
        <w:t>sieci wodociągowej na zasadach określonych w przepisach odrębnych,</w:t>
      </w:r>
    </w:p>
    <w:p w14:paraId="1E3AB15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4CB21505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66DD466B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51E35C6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1A5C939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6C97D0B7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172EDEC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7C25AAD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4C181AE7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53CCE24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7611161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0888F32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08E4083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2F1AF30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37EB1CD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51BEBCF2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1D63836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0DB3F68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4C06890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gospodarowania odpadami ustala się: gospodarowanie odpadami na zasadach określonych w przepisach odrębnych;</w:t>
      </w:r>
    </w:p>
    <w:p w14:paraId="31C339B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298A0476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Ustalenia określone w § 10 ust. 1–6 mogą występować pojedynczo lub łącznie.</w:t>
      </w:r>
    </w:p>
    <w:p w14:paraId="2ED9FAA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liczby miejsc do parkowania ustala się następujące zasady:</w:t>
      </w:r>
    </w:p>
    <w:p w14:paraId="7B72E0E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wielorodzinnej, zabudowy letniskowej lub rekreacji indywidualnej oraz zabudowy zagrodowej obowiązują minimalnie 2 miejsca do parkowania na 1 lokal mieszkalny,</w:t>
      </w:r>
    </w:p>
    <w:p w14:paraId="012B6CF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usług:</w:t>
      </w:r>
    </w:p>
    <w:p w14:paraId="79FF1DC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dla usług sportu i rekreacji obowiązuje minimalnie 1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4B277A3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pozostałych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4489A56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 produkcji obowiązuje minimalnie 1 miejsce do parkowania na 2 zatrudnionych;</w:t>
      </w:r>
    </w:p>
    <w:p w14:paraId="6F9BCE3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4743E83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1330F2D5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57E08F3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5CE3603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19EFD88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2152A11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79FBA8D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4689B2C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2B9D22D6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464E46B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43FB54D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1BF3643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głównej oznaczonej w części graficznej planu miejscowego symbolem 1KDG,</w:t>
      </w:r>
    </w:p>
    <w:p w14:paraId="6358B28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lokalnej oznaczonej w części graficznej planu miejscowego symbolem 1KDL,</w:t>
      </w:r>
    </w:p>
    <w:p w14:paraId="5CC6AEE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dojazdowej oznaczonej w części graficznej planu miejscowego symbolem 1KDD,</w:t>
      </w:r>
    </w:p>
    <w:p w14:paraId="4D2FB78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1KR–8KR,</w:t>
      </w:r>
    </w:p>
    <w:p w14:paraId="3AA1261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533FFF7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5938B619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6FAEC18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1E447B0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443124A5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2C57AB0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zgodnie z przepisami odrębnymi;</w:t>
      </w:r>
    </w:p>
    <w:p w14:paraId="3A480FC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7991BA33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granicach planu za przestrzeń publiczną uznaje się tereny oznaczone w części graficznej planu miejscowego symbolami US, KDG, KDL oraz KDD, dla których obowiązują zasady ustalone w § 4 pkt 3) i 4) oraz ustaleniach szczegółowych.</w:t>
      </w:r>
    </w:p>
    <w:p w14:paraId="66A13B39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5269EDEC" w14:textId="77777777" w:rsidR="00A77B3E" w:rsidRDefault="00466FB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44D94602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jednorodzinnej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1MN-U,</w:t>
      </w:r>
      <w:r>
        <w:rPr>
          <w:color w:val="000000"/>
          <w:u w:color="000000"/>
        </w:rPr>
        <w:t xml:space="preserve"> ustala się:</w:t>
      </w:r>
    </w:p>
    <w:p w14:paraId="5E5F9B4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14D604B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717F79E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3;</w:t>
      </w:r>
    </w:p>
    <w:p w14:paraId="42739CA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wód powierzchniowych śródlądowych</w:t>
      </w:r>
      <w:r>
        <w:rPr>
          <w:color w:val="000000"/>
          <w:u w:color="000000"/>
        </w:rPr>
        <w:t>;</w:t>
      </w:r>
    </w:p>
    <w:p w14:paraId="684EA76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2C7A409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690BBC1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023B87CA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40D5042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70D601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72BBF2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451E80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53E533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630B518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44446FA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107B526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6615D86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6F1B686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0980AC0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854715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A8E016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4D8DFF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4F14601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„K” ochrony konserwatorskiej obowiązują ustalenia §6 pkt 1) lit. b).</w:t>
      </w:r>
    </w:p>
    <w:p w14:paraId="5BB65081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 turystyki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1MN-UT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30MN-UT,</w:t>
      </w:r>
      <w:r>
        <w:rPr>
          <w:color w:val="000000"/>
          <w:u w:color="000000"/>
        </w:rPr>
        <w:t xml:space="preserve"> ustala się:</w:t>
      </w:r>
    </w:p>
    <w:p w14:paraId="7C3B470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092062B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3A77962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turystyki</w:t>
      </w:r>
      <w:r>
        <w:rPr>
          <w:color w:val="000000"/>
          <w:u w:color="000000"/>
        </w:rPr>
        <w:t>;</w:t>
      </w:r>
    </w:p>
    <w:p w14:paraId="18C7BB7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4170B780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1C3C847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58B2905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55581B8B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3025775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2860284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BF55C26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EDCCE0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57D9EE6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5E9B3D1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0484194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5ACAF59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373D57A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4759B1A3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5700849E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49EC896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125FEC6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04FC861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6B1821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42D9773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2BC03DC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90F7E66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3270C6E1" w14:textId="77777777" w:rsidR="00A77B3E" w:rsidRDefault="00466FB3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2B8A659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767AF4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5FBD740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218A34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63CD53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6CCE44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5D5DFF8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7A1FB74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2DC605B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obiektów ujętych w gminnej i wojewódzkiej ewidencji zabytków obowiązują ustalenia §6 pkt 1) lit. c).</w:t>
      </w:r>
    </w:p>
    <w:p w14:paraId="20D613E0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1MW, </w:t>
      </w:r>
      <w:r>
        <w:rPr>
          <w:color w:val="000000"/>
          <w:u w:color="000000"/>
        </w:rPr>
        <w:t>ustala się:</w:t>
      </w:r>
    </w:p>
    <w:p w14:paraId="4FC53C69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5CAB5F49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57356E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4D8A3A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60BBE3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B8D682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6AE152A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612D544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2307A9E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oraz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80E930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elewacji:</w:t>
      </w:r>
    </w:p>
    <w:p w14:paraId="622C757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5EA47B4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719389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D9CD9B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559FC2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§10 pkt 10).</w:t>
      </w:r>
    </w:p>
    <w:p w14:paraId="382C465B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letniskowej lub rekreacji indywidualnej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1ML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2ML, </w:t>
      </w:r>
      <w:r>
        <w:rPr>
          <w:color w:val="000000"/>
          <w:u w:color="000000"/>
        </w:rPr>
        <w:t>ustala się:</w:t>
      </w:r>
    </w:p>
    <w:p w14:paraId="1593DC2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 podstawowe: </w:t>
      </w:r>
      <w:r>
        <w:rPr>
          <w:b/>
          <w:color w:val="000000"/>
          <w:u w:color="000000"/>
        </w:rPr>
        <w:t>zabudowy letniskowej lub rekreacji indywidualnej</w:t>
      </w:r>
      <w:r>
        <w:rPr>
          <w:color w:val="000000"/>
          <w:u w:color="000000"/>
        </w:rPr>
        <w:t>;</w:t>
      </w:r>
    </w:p>
    <w:p w14:paraId="647104B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5ECE4CF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B6CCA26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793E2C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0.3</w:t>
      </w:r>
    </w:p>
    <w:p w14:paraId="4F6FD75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0.15,</w:t>
      </w:r>
    </w:p>
    <w:p w14:paraId="10A5FA4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0.55,</w:t>
      </w:r>
    </w:p>
    <w:p w14:paraId="4A7F5A6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m,</w:t>
      </w:r>
    </w:p>
    <w:p w14:paraId="12BCB8E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D0E3D5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565376F6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dachów płaskich: dowolne pokrycie dachu,</w:t>
      </w:r>
    </w:p>
    <w:p w14:paraId="5B07A51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4F55488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15CB855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BC5F89F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4DFCC32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8A96B3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683CB2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>minimalna liczba miejsc do parkowania zgodnie z §10 pkt 10).</w:t>
      </w:r>
    </w:p>
    <w:p w14:paraId="6915F973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</w:t>
      </w:r>
      <w:r>
        <w:rPr>
          <w:color w:val="000000"/>
          <w:u w:color="000000"/>
        </w:rPr>
        <w:t>, oznaczonego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>1U,</w:t>
      </w:r>
      <w:r>
        <w:rPr>
          <w:color w:val="000000"/>
          <w:u w:color="000000"/>
        </w:rPr>
        <w:t xml:space="preserve"> ustala się:</w:t>
      </w:r>
    </w:p>
    <w:p w14:paraId="0B0F9FE6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2,</w:t>
      </w:r>
    </w:p>
    <w:p w14:paraId="7175FC57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565E81E0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02A95A5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5FBD85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9A7F49A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0.8,</w:t>
      </w:r>
    </w:p>
    <w:p w14:paraId="5B5F84B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7A74743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609A6FB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7 m,</w:t>
      </w:r>
    </w:p>
    <w:p w14:paraId="1FBC995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jednospadowe o kącie nachylenia połaci 25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lub dachy dwuspadowe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2152B07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7C48784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33A4A35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E3D78A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474A1DE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16AB856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62E674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6D3DC75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 pkt 1) lit. a),</w:t>
      </w:r>
    </w:p>
    <w:p w14:paraId="76146BC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terenu objętego strefą „K” ochrony konserwatorskiej obowiązują ustalenia §6 pkt 1) lit. b).</w:t>
      </w:r>
    </w:p>
    <w:p w14:paraId="0877AD27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2U,</w:t>
      </w:r>
      <w:r>
        <w:rPr>
          <w:color w:val="000000"/>
          <w:u w:color="000000"/>
        </w:rPr>
        <w:t xml:space="preserve"> ustala się:</w:t>
      </w:r>
    </w:p>
    <w:p w14:paraId="723A6E62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2;</w:t>
      </w:r>
    </w:p>
    <w:p w14:paraId="46A98ECD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71D8293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0CB1D53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D4C3A8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06E075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1.4,</w:t>
      </w:r>
    </w:p>
    <w:p w14:paraId="681C543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0.7,</w:t>
      </w:r>
    </w:p>
    <w:p w14:paraId="21D7CA5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0.05,</w:t>
      </w:r>
    </w:p>
    <w:p w14:paraId="6E7AA8A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72A4CCDB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naczółkowe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3753E4C5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287C331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FC16EF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ACB09F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A4A3BD2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kamień,</w:t>
      </w:r>
    </w:p>
    <w:p w14:paraId="6CE5C12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52EE0A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326D8CE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 pkt 1) lit. a),</w:t>
      </w:r>
    </w:p>
    <w:p w14:paraId="2FC488FD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terenu objętego strefą „K” ochrony konserwatorskiej obowiązują ustalenia §6 pkt 1) lit. b).</w:t>
      </w:r>
    </w:p>
    <w:p w14:paraId="21C8156C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bezpieczeństwa i porządku publicznego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1UB, </w:t>
      </w:r>
      <w:r>
        <w:rPr>
          <w:color w:val="000000"/>
          <w:u w:color="000000"/>
        </w:rPr>
        <w:t>ustala się:</w:t>
      </w:r>
    </w:p>
    <w:p w14:paraId="13EA9CF7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bezpieczeństwa i porządku publicznego</w:t>
      </w:r>
      <w:r>
        <w:rPr>
          <w:color w:val="000000"/>
          <w:u w:color="000000"/>
        </w:rPr>
        <w:t>;</w:t>
      </w:r>
    </w:p>
    <w:p w14:paraId="2A94633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3;</w:t>
      </w:r>
    </w:p>
    <w:p w14:paraId="19AEB9E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 teren usług handlu wielkopowierzchniowego;</w:t>
      </w:r>
    </w:p>
    <w:p w14:paraId="5F1F927C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594393A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0839FF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49CB913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2B74C86C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3A39ABC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517EE0C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0B813D8F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8234A9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</w:t>
      </w:r>
    </w:p>
    <w:p w14:paraId="7CF0C90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C5C493D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B727836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17A7B4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2D8D79E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3D4AD6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610D1C90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produkcji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1P, </w:t>
      </w:r>
      <w:r>
        <w:rPr>
          <w:color w:val="000000"/>
          <w:u w:color="000000"/>
        </w:rPr>
        <w:t>ustala się:</w:t>
      </w:r>
    </w:p>
    <w:p w14:paraId="4F0D997A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produkcji</w:t>
      </w:r>
      <w:r>
        <w:rPr>
          <w:color w:val="000000"/>
          <w:u w:color="000000"/>
        </w:rPr>
        <w:t>, z zastrzeżeniem pkt 2;</w:t>
      </w:r>
    </w:p>
    <w:p w14:paraId="57C5BD0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57F0A77A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produkcji energii,</w:t>
      </w:r>
    </w:p>
    <w:p w14:paraId="4655E48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przemysłu portowego;</w:t>
      </w:r>
    </w:p>
    <w:p w14:paraId="682D4737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2C11F4F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7EF04AA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3792C74C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4F48AC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047C9172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39E468C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0A94742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C380E05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</w:t>
      </w:r>
    </w:p>
    <w:p w14:paraId="0D7ED59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5D41057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383AC5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D76DA6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3A44FC5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195099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10).</w:t>
      </w:r>
    </w:p>
    <w:p w14:paraId="1D9CC0B7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głównej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1KDG, </w:t>
      </w:r>
      <w:r>
        <w:rPr>
          <w:color w:val="000000"/>
          <w:u w:color="000000"/>
        </w:rPr>
        <w:t>ustala się:</w:t>
      </w:r>
    </w:p>
    <w:p w14:paraId="2199F96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głównej</w:t>
      </w:r>
      <w:r>
        <w:rPr>
          <w:color w:val="000000"/>
          <w:u w:color="000000"/>
        </w:rPr>
        <w:t>;</w:t>
      </w:r>
    </w:p>
    <w:p w14:paraId="2B02DFB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84CE810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lokalnej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1KDL, </w:t>
      </w:r>
      <w:r>
        <w:rPr>
          <w:color w:val="000000"/>
          <w:u w:color="000000"/>
        </w:rPr>
        <w:t>ustala się:</w:t>
      </w:r>
    </w:p>
    <w:p w14:paraId="296F885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lokalnej</w:t>
      </w:r>
      <w:r>
        <w:rPr>
          <w:color w:val="000000"/>
          <w:u w:color="000000"/>
        </w:rPr>
        <w:t>;</w:t>
      </w:r>
    </w:p>
    <w:p w14:paraId="36CDC22D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0E9F1304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drogi dojazdowej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1KDD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5KDD, </w:t>
      </w:r>
      <w:r>
        <w:rPr>
          <w:color w:val="000000"/>
          <w:u w:color="000000"/>
        </w:rPr>
        <w:t>ustala się:</w:t>
      </w:r>
    </w:p>
    <w:p w14:paraId="07A92BB1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7FFDD15B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475588C5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5KR</w:t>
      </w:r>
      <w:r>
        <w:rPr>
          <w:color w:val="000000"/>
          <w:u w:color="000000"/>
        </w:rPr>
        <w:t xml:space="preserve"> ustala się:</w:t>
      </w:r>
    </w:p>
    <w:p w14:paraId="376CB905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6102CB48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433D7A86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elektroenergetyki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1IE</w:t>
      </w:r>
      <w:r>
        <w:rPr>
          <w:color w:val="000000"/>
          <w:u w:color="000000"/>
        </w:rPr>
        <w:t>, ustala się:</w:t>
      </w:r>
    </w:p>
    <w:p w14:paraId="289239B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0CBC6BC3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37EC24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0EEE3C0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7A3EFB4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0,9,</w:t>
      </w:r>
    </w:p>
    <w:p w14:paraId="372F93A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0.9,</w:t>
      </w:r>
    </w:p>
    <w:p w14:paraId="3740172E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30C60B5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38ACE078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.</w:t>
      </w:r>
    </w:p>
    <w:p w14:paraId="5B2C1E5B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14RZM,</w:t>
      </w:r>
      <w:r>
        <w:rPr>
          <w:color w:val="000000"/>
          <w:u w:color="000000"/>
        </w:rPr>
        <w:t xml:space="preserve"> ustala się:</w:t>
      </w:r>
    </w:p>
    <w:p w14:paraId="46955CD4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6B170DB3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E75805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CC879A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minimalny: 0.0,</w:t>
      </w:r>
    </w:p>
    <w:p w14:paraId="21F071A9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0452063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16F82E17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4A0CDDB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6AA228D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6A04BF60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532EC3D4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441B82D1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E766DD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06153E8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0DCD41B" w14:textId="77777777" w:rsidR="00A77B3E" w:rsidRDefault="00466FB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2C1EE11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14D6EF59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a),</w:t>
      </w:r>
    </w:p>
    <w:p w14:paraId="14A8F5D6" w14:textId="77777777" w:rsidR="00A77B3E" w:rsidRDefault="00466FB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b).</w:t>
      </w:r>
    </w:p>
    <w:p w14:paraId="30EBD7AD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wód powierzchniowych śródlądowych,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 xml:space="preserve">1WS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9WS,</w:t>
      </w:r>
      <w:r>
        <w:rPr>
          <w:color w:val="000000"/>
          <w:u w:color="000000"/>
        </w:rPr>
        <w:t xml:space="preserve"> ustala się przeznaczenie: </w:t>
      </w:r>
      <w:r>
        <w:rPr>
          <w:b/>
          <w:color w:val="000000"/>
          <w:u w:color="000000"/>
        </w:rPr>
        <w:t>teren wód powierzchniowych śródlądowych.</w:t>
      </w:r>
    </w:p>
    <w:p w14:paraId="62BDE5E2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lasu,</w:t>
      </w:r>
      <w:r>
        <w:rPr>
          <w:color w:val="000000"/>
          <w:u w:color="000000"/>
        </w:rPr>
        <w:t xml:space="preserve"> oznaczonego w części graficznej planu miejscowego symbolem </w:t>
      </w:r>
      <w:r>
        <w:rPr>
          <w:b/>
          <w:color w:val="000000"/>
          <w:u w:color="000000"/>
        </w:rPr>
        <w:t>1L</w:t>
      </w:r>
      <w:r>
        <w:rPr>
          <w:color w:val="000000"/>
          <w:u w:color="000000"/>
        </w:rPr>
        <w:t xml:space="preserve">, ustala się: </w:t>
      </w:r>
    </w:p>
    <w:p w14:paraId="2A28E75E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lasu</w:t>
      </w:r>
      <w:r>
        <w:rPr>
          <w:color w:val="000000"/>
          <w:u w:color="000000"/>
        </w:rPr>
        <w:t>;</w:t>
      </w:r>
    </w:p>
    <w:p w14:paraId="7E40D9EF" w14:textId="77777777" w:rsidR="00A77B3E" w:rsidRDefault="00466F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zagospodarowania terenu dopuszcza się zagospodarowanie związane z gospodarką leśną określone w przepisach odrębnych.</w:t>
      </w:r>
    </w:p>
    <w:p w14:paraId="18F5AF65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terenu zieleni naturalnej, </w:t>
      </w:r>
      <w:r>
        <w:rPr>
          <w:color w:val="000000"/>
          <w:u w:color="000000"/>
        </w:rPr>
        <w:t xml:space="preserve">oznaczonego w części graficznej planu miejscowego symbolem </w:t>
      </w:r>
      <w:r>
        <w:rPr>
          <w:b/>
          <w:color w:val="000000"/>
          <w:u w:color="000000"/>
        </w:rPr>
        <w:t xml:space="preserve">1ZN, </w:t>
      </w:r>
      <w:r>
        <w:rPr>
          <w:color w:val="000000"/>
          <w:u w:color="000000"/>
        </w:rPr>
        <w:t xml:space="preserve">ustala się przeznaczenie: </w:t>
      </w:r>
      <w:r>
        <w:rPr>
          <w:b/>
          <w:color w:val="000000"/>
          <w:u w:color="000000"/>
        </w:rPr>
        <w:t>teren zieleni naturalnej.</w:t>
      </w:r>
    </w:p>
    <w:p w14:paraId="24567C0D" w14:textId="77777777" w:rsidR="00A77B3E" w:rsidRDefault="00466FB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24E1C7B4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Burmistrzowi Gminy Żmigród.</w:t>
      </w:r>
    </w:p>
    <w:p w14:paraId="04B71B16" w14:textId="77777777" w:rsidR="00A77B3E" w:rsidRDefault="00466F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1C7F0" w14:textId="77777777" w:rsidR="00466FB3" w:rsidRDefault="00466FB3">
      <w:r>
        <w:separator/>
      </w:r>
    </w:p>
  </w:endnote>
  <w:endnote w:type="continuationSeparator" w:id="0">
    <w:p w14:paraId="6D760431" w14:textId="77777777" w:rsidR="00466FB3" w:rsidRDefault="00466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80451" w14:paraId="153079E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BC9C12" w14:textId="77C4F210" w:rsidR="00680451" w:rsidRDefault="00F205BA">
          <w:pPr>
            <w:jc w:val="left"/>
            <w:rPr>
              <w:sz w:val="18"/>
            </w:rPr>
          </w:pPr>
          <w:r>
            <w:rPr>
              <w:sz w:val="18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EBC3454" w14:textId="77777777" w:rsidR="00680451" w:rsidRDefault="00466F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05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C117EF" w14:textId="77777777" w:rsidR="00680451" w:rsidRDefault="0068045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09C8A" w14:textId="77777777" w:rsidR="00466FB3" w:rsidRDefault="00466FB3">
      <w:r>
        <w:separator/>
      </w:r>
    </w:p>
  </w:footnote>
  <w:footnote w:type="continuationSeparator" w:id="0">
    <w:p w14:paraId="06BFD17B" w14:textId="77777777" w:rsidR="00466FB3" w:rsidRDefault="00466F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66FB3"/>
    <w:rsid w:val="00590394"/>
    <w:rsid w:val="00680451"/>
    <w:rsid w:val="00827201"/>
    <w:rsid w:val="00A77B3E"/>
    <w:rsid w:val="00CA2A55"/>
    <w:rsid w:val="00F2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4A528"/>
  <w15:docId w15:val="{AA2F4618-FCCC-431F-ACD5-823D3DBA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205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05BA"/>
    <w:rPr>
      <w:sz w:val="22"/>
      <w:szCs w:val="24"/>
    </w:rPr>
  </w:style>
  <w:style w:type="paragraph" w:styleId="Stopka">
    <w:name w:val="footer"/>
    <w:basedOn w:val="Normalny"/>
    <w:link w:val="StopkaZnak"/>
    <w:rsid w:val="00F205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05B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5528</Words>
  <Characters>33173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38624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Niezgoda</dc:subject>
  <dc:creator>graba</dc:creator>
  <cp:lastModifiedBy>Patrycja Graba</cp:lastModifiedBy>
  <cp:revision>3</cp:revision>
  <cp:lastPrinted>2026-03-16T14:40:00Z</cp:lastPrinted>
  <dcterms:created xsi:type="dcterms:W3CDTF">2026-03-16T15:40:00Z</dcterms:created>
  <dcterms:modified xsi:type="dcterms:W3CDTF">2026-03-16T14:40:00Z</dcterms:modified>
  <cp:category>Akt prawny</cp:category>
</cp:coreProperties>
</file>