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D46E6" w14:textId="77777777" w:rsidR="00A77B3E" w:rsidRDefault="00A77B3E" w:rsidP="00576762">
      <w:pPr>
        <w:jc w:val="left"/>
        <w:rPr>
          <w:sz w:val="20"/>
        </w:rPr>
      </w:pPr>
    </w:p>
    <w:p w14:paraId="60A5C443" w14:textId="77777777" w:rsidR="00A77B3E" w:rsidRDefault="00972B1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ŻMIGRODZIE</w:t>
      </w:r>
    </w:p>
    <w:p w14:paraId="52672EF5" w14:textId="77777777" w:rsidR="00A77B3E" w:rsidRDefault="00972B10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5B814711" w14:textId="77777777" w:rsidR="00A77B3E" w:rsidRDefault="00972B10">
      <w:pPr>
        <w:keepNext/>
        <w:spacing w:after="480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dla części obrębu Sanie</w:t>
      </w:r>
    </w:p>
    <w:p w14:paraId="09903DC2" w14:textId="77777777" w:rsidR="00A77B3E" w:rsidRDefault="00972B10">
      <w:pPr>
        <w:keepLines/>
        <w:spacing w:before="120" w:after="120"/>
        <w:ind w:firstLine="227"/>
      </w:pPr>
      <w:r>
        <w:t>Na podstawie art. 18 ust. 2 pkt 5 ustawy z dnia 8 marca 1990 r. o samorządzie gminnym (Dz. U. z 2025 r. poz. 1153) i art. 20 ust. 1 ustawy z dnia 27 marca 2003 r. o planowaniu i zagospodarowaniu przestrzennym (</w:t>
      </w:r>
      <w:proofErr w:type="spellStart"/>
      <w:r>
        <w:t>t.j</w:t>
      </w:r>
      <w:proofErr w:type="spellEnd"/>
      <w:r>
        <w:t>. Dz. U. z 2024 r. poz. 1130 ze zm.) w związku z art. 67 ust. 3 pkt. 2 ustawy z dnia 7 lipca 2023 r. o zmianie ustawy o planowaniu i zagospodarowaniu przestrzennym oraz niektórych innych ustaw (Dz. U. z 2023 r. poz. 1688) oraz w związku z Uchwałą Nr 0007.XI.101.2025 Rady Miejskiej w Żmigrodzie z dnia 29 stycznia 2025 r. w sprawie przystąpienia do sporządzenia miejscowego planu zagospodarowania przestrzennego dla części obrębu Sanie, po stwierdzeniu, że plan nie narusza Studium uwarunkowań i kierunków zag</w:t>
      </w:r>
      <w:r>
        <w:t>ospodarowania przestrzennego gminy Żmigród uchwalonego Uchwałą Nr 0007.XVI.156.2025 Rady Miejskiej w Żmigrodzie z dnia 25 września 2025 r., Rada Miejska w Żmigrodzie uchwala co następuje:</w:t>
      </w:r>
    </w:p>
    <w:p w14:paraId="7D9DE223" w14:textId="77777777" w:rsidR="00A77B3E" w:rsidRDefault="00972B10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wstępne</w:t>
      </w:r>
    </w:p>
    <w:p w14:paraId="2CF94E6E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Uchwala się miejscowy plan zagospodarowania przestrzennego dla części obrębu Sanie, obejmujący obszar zawarty w granicach określonych w </w:t>
      </w:r>
      <w:r>
        <w:t>części graficznej planu miejscowego stanowiącej załącznik nr 1 do uchwały.</w:t>
      </w:r>
    </w:p>
    <w:p w14:paraId="73429338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Załącznikami do niniejszej uchwały są::</w:t>
      </w:r>
    </w:p>
    <w:p w14:paraId="5C16D390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 1 – część graficzna planu miejscowego;</w:t>
      </w:r>
    </w:p>
    <w:p w14:paraId="72BF1DD7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 2 – rozstrzygnięcie o sposobie realizacji, zapisanych w miejscowym planie, inwestycji z zakresu infrastruktury technicznej, które należą do zadań własnych gminy, oraz zasadach ich finansowania, zgodnie z przepisami o finansach publicznych;</w:t>
      </w:r>
    </w:p>
    <w:p w14:paraId="28E8BBD7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załącznik nr 3 – dane przestrzenne.</w:t>
      </w:r>
    </w:p>
    <w:p w14:paraId="037AEEF7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niniejszej uchwale jest mowa o:</w:t>
      </w:r>
    </w:p>
    <w:p w14:paraId="1E2E34A0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terenie</w:t>
      </w:r>
      <w:r>
        <w:rPr>
          <w:color w:val="000000"/>
          <w:u w:color="000000"/>
        </w:rPr>
        <w:t xml:space="preserve"> – należy przez to rozumieć teren wyznaczony na części graficznej planu miejscowego liniami rozgraniczającymi, oznaczony numerem i symbolem klasy przeznaczenia terenu;</w:t>
      </w:r>
    </w:p>
    <w:p w14:paraId="6DA5AF1F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przeznaczeniu </w:t>
      </w:r>
      <w:r>
        <w:rPr>
          <w:color w:val="000000"/>
          <w:u w:color="000000"/>
        </w:rPr>
        <w:t>– należy przez to rozumieć klasy przeznaczenia terenu, które przeważają na danym terenie wydzielonym w planie liniami rozgraniczającymi; w przypadku ustalenia więcej niż jednej klasy przeznaczenia, wszystkie wymienione klasy mogą wystąpić łącznie lub odrębnie w granicach poszczególnych działek budowlanych położonych w granicach terenu;</w:t>
      </w:r>
    </w:p>
    <w:p w14:paraId="083C1FAB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przeznaczeniu uzupełniającym</w:t>
      </w:r>
      <w:r>
        <w:rPr>
          <w:color w:val="000000"/>
          <w:u w:color="000000"/>
        </w:rPr>
        <w:t xml:space="preserve"> – należy przez to rozumieć klasy przeznaczenia terenu, które uzupełniają lub wzbogacają przeznaczenie, w sposób określony zgodnie z przepisami szczegółowymi; </w:t>
      </w:r>
    </w:p>
    <w:p w14:paraId="059789B7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przeznaczeniu wykluczanym</w:t>
      </w:r>
      <w:r>
        <w:rPr>
          <w:color w:val="000000"/>
          <w:u w:color="000000"/>
        </w:rPr>
        <w:t xml:space="preserve"> – należy przez to rozumieć klasy przeznaczenia terenu, które nie mogą wystąpić na danym terenie wydzielonym w planie liniami rozgraniczającymi; </w:t>
      </w:r>
    </w:p>
    <w:p w14:paraId="218AD380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obowiązującej linii zabudowy</w:t>
      </w:r>
      <w:r>
        <w:rPr>
          <w:color w:val="000000"/>
          <w:u w:color="000000"/>
        </w:rPr>
        <w:t xml:space="preserve"> – należy przez to rozumieć określoną w części graficznej planu miejscowego linię, względem której należy lokalizować budynki, przy czym:</w:t>
      </w:r>
    </w:p>
    <w:p w14:paraId="65E09AC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sytuowane główną kalenicą równolegle w stosunku do obowiązującej linii zabudowy należy lokalizować w taki sposób, aby elewacja frontowa była położona na obowiązującej linii zabudowy na odcinku co najmniej 70% długości tej elewacji;</w:t>
      </w:r>
    </w:p>
    <w:p w14:paraId="749FD1B6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sytuowane główną kalenicą nierównolegle, z dopuszczalnym odchyleniem w zakresie od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110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w stosunku do obowiązującej linii zabudowy, należy lokalizować w taki sposób, aby najbardziej wysunięty narożnik budynku był styczny do obowiązującej linii zabudowy,</w:t>
      </w:r>
    </w:p>
    <w:p w14:paraId="323D1D2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zasadzie tej nie podlegają:</w:t>
      </w:r>
    </w:p>
    <w:p w14:paraId="6D93C8D0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nowe budynki, które lokalizowane będą w odległości większej niż 20 </w:t>
      </w:r>
      <w:r>
        <w:rPr>
          <w:color w:val="000000"/>
          <w:u w:color="000000"/>
        </w:rPr>
        <w:t>m od obowiązującej linii zabudowy określonej w części graficznej planu miejscowego,</w:t>
      </w:r>
    </w:p>
    <w:p w14:paraId="598BD27D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infrastruktury technicznej,</w:t>
      </w:r>
    </w:p>
    <w:p w14:paraId="6416FA39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obowiązującej linii zabudowy o więcej niż 2 m na szerokości nie więcej niż 30% szerokości elewacji frontowej budynku,</w:t>
      </w:r>
    </w:p>
    <w:p w14:paraId="608A3D5D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3260FEC4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podziemne części budynków,</w:t>
      </w:r>
    </w:p>
    <w:p w14:paraId="4E1A60D8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65022EC9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nieprzekraczalnej linii zabudowy</w:t>
      </w:r>
      <w:r>
        <w:rPr>
          <w:color w:val="000000"/>
          <w:u w:color="000000"/>
        </w:rPr>
        <w:t xml:space="preserve"> – należy przez to rozumieć określoną w części graficznej planu miejscowego linię, ograniczającą obszar, na którym dopuszcza się lokalizowanie budynków, przy czym zasadzie tej nie podlegają:</w:t>
      </w:r>
    </w:p>
    <w:p w14:paraId="1FC9B99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infrastruktury technicznej,</w:t>
      </w:r>
    </w:p>
    <w:p w14:paraId="18E10D1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nieprzekraczalnej linii zabudowy o więcej niż 2 m na szerokości nie więcej niż 30% szerokości elewacji frontowej budynku,</w:t>
      </w:r>
    </w:p>
    <w:p w14:paraId="0CC069F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4CAE52E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 części budynków,</w:t>
      </w:r>
    </w:p>
    <w:p w14:paraId="56AEE21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0E23C64D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Obowiązującymi ustaleniami planu miejscowego, bądź wynikającymi z przepisów odrębnych są:</w:t>
      </w:r>
    </w:p>
    <w:p w14:paraId="0D7B31D2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ustalenia oznaczone na części graficznej planu miejscowego:</w:t>
      </w:r>
    </w:p>
    <w:p w14:paraId="4A33017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granica obszaru objętego planem miejscowym;</w:t>
      </w:r>
    </w:p>
    <w:p w14:paraId="21CBB9E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linia rozgraniczająca tereny o różnym przeznaczeniu lub różnych zasadach zagospodarowania;</w:t>
      </w:r>
    </w:p>
    <w:p w14:paraId="1FA68E1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nieprzekraczalna linia zabudowy;</w:t>
      </w:r>
    </w:p>
    <w:p w14:paraId="53A58EF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obowiązująca linia zabudowy;</w:t>
      </w:r>
    </w:p>
    <w:p w14:paraId="1169D98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symbole i oznaczenia graficzne wraz z numeracją określające przeznaczenie terenów;</w:t>
      </w:r>
    </w:p>
    <w:p w14:paraId="24CA839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strefa „B” ochrony konserwatorskiej;</w:t>
      </w:r>
    </w:p>
    <w:p w14:paraId="0827A54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strefa „K” ochrony konserwatorskiej;</w:t>
      </w:r>
    </w:p>
    <w:p w14:paraId="73FD6C9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strefa „OW” ochrony konserwatorskiej;</w:t>
      </w:r>
    </w:p>
    <w:p w14:paraId="5C3AB83D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obiekt ujęty w gminnej ewidencji zabytków;</w:t>
      </w:r>
    </w:p>
    <w:p w14:paraId="53BAD39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stanowisko archeologiczne;</w:t>
      </w:r>
    </w:p>
    <w:p w14:paraId="415493C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pas technologiczny napowietrznej linii elektroenergetycznej niskiego napięcia;</w:t>
      </w:r>
    </w:p>
    <w:p w14:paraId="64B7565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pas technologiczny napowietrznej linii elektroenergetycznej średniego napięcia;</w:t>
      </w:r>
    </w:p>
    <w:p w14:paraId="6879631C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pas technologiczny napowietrznej linii elektroenergetycznej wysokiego napięcia;</w:t>
      </w:r>
    </w:p>
    <w:p w14:paraId="13DC18E5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ustalenia nieoznaczone na części graficznej planu miejscowego, obejmujące cały obszar objęty planem miejscowym: granica Głównego Zbiornika Wód Podziemnych nr 303 Pradolina Barycz – Głogów (E).</w:t>
      </w:r>
    </w:p>
    <w:p w14:paraId="7DB3B5FF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oznaczenia na części graficznej planu miejscowego są oznaczeniami informacyjnymi, niestanowiącymi ustaleń planu miejscowego.</w:t>
      </w:r>
    </w:p>
    <w:p w14:paraId="7259E94D" w14:textId="77777777" w:rsidR="00A77B3E" w:rsidRDefault="00972B1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7E581DF0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i kształtowania ładu przestrzennego oraz zabudowy:</w:t>
      </w:r>
    </w:p>
    <w:p w14:paraId="158180D8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obowiązującej i nieprzekraczalnej linii zabudowy – należy zachować linie zabudowy wyznaczone w części graficznej planu miejscowego;</w:t>
      </w:r>
    </w:p>
    <w:p w14:paraId="24388D4D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wysokości zabudowy – wysokość określona w ustaleniach szczegółowych nie dotyczy inwestycji celu publicznego z zakresu łączności publicznej, dla których obowiązują przepisy odrębne;</w:t>
      </w:r>
    </w:p>
    <w:p w14:paraId="28918A9B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 terenach oznaczonych w części graficznej planu miejscowego symbolami  </w:t>
      </w:r>
      <w:r>
        <w:rPr>
          <w:b/>
          <w:color w:val="000000"/>
          <w:u w:color="000000"/>
        </w:rPr>
        <w:t xml:space="preserve">MN, MN-U, MW, U, U-P, RZ-RA, RZM, ZP </w:t>
      </w:r>
      <w:r>
        <w:rPr>
          <w:color w:val="000000"/>
          <w:u w:color="000000"/>
        </w:rPr>
        <w:t>dopuszcza się:</w:t>
      </w:r>
    </w:p>
    <w:p w14:paraId="727F28A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1347B8C2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dojazdy i dojścia,</w:t>
      </w:r>
    </w:p>
    <w:p w14:paraId="4187AA8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parkowania,</w:t>
      </w:r>
    </w:p>
    <w:p w14:paraId="0CA65597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elementy służące zapewnieniu dostępności osobom ze szczególnymi potrzebami,</w:t>
      </w:r>
    </w:p>
    <w:p w14:paraId="642E331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gospodarcze, garaże, wiaty, altany, oranżerie, miejsca do gromadzenia odpadów oraz inne obiekty pełniące funkcje pomocnicze wobec przeznaczenia terenu;</w:t>
      </w:r>
    </w:p>
    <w:p w14:paraId="5B6A936E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na terenie oznaczonym w części graficznej planu miejscowego symbolem </w:t>
      </w:r>
      <w:r>
        <w:rPr>
          <w:b/>
          <w:color w:val="000000"/>
          <w:u w:color="000000"/>
        </w:rPr>
        <w:t>KDL</w:t>
      </w:r>
      <w:r>
        <w:rPr>
          <w:color w:val="000000"/>
          <w:u w:color="000000"/>
        </w:rPr>
        <w:t xml:space="preserve"> dopuszcza się:</w:t>
      </w:r>
    </w:p>
    <w:p w14:paraId="22A6C4E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72DC482D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07C9CF07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 terenach oznaczonych w </w:t>
      </w:r>
      <w:r>
        <w:rPr>
          <w:color w:val="000000"/>
          <w:u w:color="000000"/>
        </w:rPr>
        <w:t xml:space="preserve">części graficznej planu miejscowego symbolem </w:t>
      </w:r>
      <w:r>
        <w:rPr>
          <w:b/>
          <w:color w:val="000000"/>
          <w:u w:color="000000"/>
        </w:rPr>
        <w:t xml:space="preserve">KR </w:t>
      </w:r>
      <w:r>
        <w:rPr>
          <w:color w:val="000000"/>
          <w:u w:color="000000"/>
        </w:rPr>
        <w:t>dopuszcza się:</w:t>
      </w:r>
    </w:p>
    <w:p w14:paraId="6417E99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0468A8C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3E1FEE9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parkowania;</w:t>
      </w:r>
    </w:p>
    <w:p w14:paraId="6A106926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>WS,</w:t>
      </w:r>
      <w:r>
        <w:rPr>
          <w:color w:val="000000"/>
          <w:u w:color="000000"/>
        </w:rPr>
        <w:t xml:space="preserve"> dopuszcza się:</w:t>
      </w:r>
    </w:p>
    <w:p w14:paraId="129EB84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urządzenia wodne zgodnie z przepisami odrębnymi,</w:t>
      </w:r>
    </w:p>
    <w:p w14:paraId="6E10AE6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obiekty mostowe,</w:t>
      </w:r>
    </w:p>
    <w:p w14:paraId="11004047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przepusty,</w:t>
      </w:r>
    </w:p>
    <w:p w14:paraId="51AE8B9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obiekty i urządzenia infrastruktury technicznej;</w:t>
      </w:r>
    </w:p>
    <w:p w14:paraId="302D97EA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 zakresie geometrii dachu: dopuszcza się odstępstwo od parametrów ustalonych w przepisach szczegółowych poprzez zastosowanie dowolnych parametrów na powierzchni nie większej niż 10 % całego dachu w strefach „B” oraz „K” ochrony konserwatorskiej i nie większej niż 30 % całego dachu poza strefami ochrony konserwatorskiej.</w:t>
      </w:r>
    </w:p>
    <w:p w14:paraId="6029BC1B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Ustala się następujące</w:t>
      </w:r>
      <w:r>
        <w:rPr>
          <w:b/>
          <w:color w:val="000000"/>
          <w:u w:color="000000"/>
        </w:rPr>
        <w:t xml:space="preserve"> zasady ochrony środowiska, przyrody i krajobrazu oraz zasady kształtowania krajobrazu:</w:t>
      </w:r>
    </w:p>
    <w:p w14:paraId="3C223851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ochrony środowiska ustala się:</w:t>
      </w:r>
    </w:p>
    <w:p w14:paraId="07D7537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zakaz lokalizacji przedsięwzięć mogących zawsze znacząco oddziaływać na środowisko,</w:t>
      </w:r>
    </w:p>
    <w:p w14:paraId="6AA9E67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zakaz lokalizacji przedsięwzięć mogących potencjalnie znacząco oddziaływać na środowisko, z wyłączeniem:</w:t>
      </w:r>
    </w:p>
    <w:p w14:paraId="12FBC5E4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inwestycji z zakresu infrastruktury technicznej,</w:t>
      </w:r>
    </w:p>
    <w:p w14:paraId="5FE3810F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zabudowy przemysłowej lub magazynowej, wraz z towarzyszącą jej infrastrukturą, w granicach terenu oznaczonego w części graficznej planu miejscowego symbolem 1U-P,</w:t>
      </w:r>
    </w:p>
    <w:p w14:paraId="35DB165C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wymóg zachowania wartości dopuszczalnych poziomów hałasu w środowisku, określonych w przepisach odrębnych:</w:t>
      </w:r>
    </w:p>
    <w:p w14:paraId="30F58F34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</w:t>
      </w:r>
      <w:r>
        <w:rPr>
          <w:color w:val="000000"/>
          <w:u w:color="000000"/>
        </w:rPr>
        <w:t>części graficznej planu miejscowego symbolami MN – jak dla terenów zabudowy mieszkaniowej jednorodzinnej,</w:t>
      </w:r>
    </w:p>
    <w:p w14:paraId="5783982E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MW – jak dla terenów zabudowy mieszkaniowej wielorodzinnej i zamieszkania zbiorowego,</w:t>
      </w:r>
    </w:p>
    <w:p w14:paraId="6E71F1D4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MN-U – jak dla terenów mieszkaniowo-usługowych,</w:t>
      </w:r>
    </w:p>
    <w:p w14:paraId="2457390B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RZM – jak dla terenów zabudowy zagrodowej,</w:t>
      </w:r>
    </w:p>
    <w:p w14:paraId="41342B8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następujące zasady gospodarowania odpadami: na obszarze objętym planem gospodarowanie odpadami będzie odbywać się w oparciu o przepisy odrębne;</w:t>
      </w:r>
    </w:p>
    <w:p w14:paraId="09775774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przyrody i krajobrazu oraz zasad kształtowania krajobrazu, z uwagi na brak potrzeby określania.</w:t>
      </w:r>
    </w:p>
    <w:p w14:paraId="4262BC75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dziedzictwa kulturowego i zabytków, w tym krajobrazów kulturowych, oraz dóbr kultury współczesnej:</w:t>
      </w:r>
    </w:p>
    <w:p w14:paraId="60E49AA3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zasad ochrony dziedzictwa kulturowego i zabytków, w tym krajobrazów kulturowych ustala się:</w:t>
      </w:r>
    </w:p>
    <w:p w14:paraId="3D0D39A7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strefę „B” ochrony konserwatorskiej</w:t>
      </w:r>
      <w:r>
        <w:rPr>
          <w:color w:val="000000"/>
          <w:u w:color="000000"/>
        </w:rPr>
        <w:t>, w której obowiązują następujące wymogi:</w:t>
      </w:r>
    </w:p>
    <w:p w14:paraId="3F699EB9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 inwestycjach związanych z modernizacją, rozbudową, przebudową obiektów istniejących, należy nawiązać gabarytami, sposobem kształtowania bryły i użytymi materiałami elewacyjnymi do miejscowej tradycji architektonicznej, a w przypadku rozbudowy istniejącego obiektu, powinien on tworzyć spójną kompozycję z istniejącą częścią,</w:t>
      </w:r>
    </w:p>
    <w:p w14:paraId="51FAFDFE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nową i przebudowaną zabudowę należy zharmonizować z historyczną kompozycją przestrzenno-architektoniczną w zakresie lokalizacji, rozplanowania, skali, ukształtowania bryły, w tym kształtu i wysokości dachu, poziomu posadowienia parteru, użytych form architektonicznych, podziałów otworów okiennych i drzwiowych, materiałów oraz przy nawiązaniu do historycznej zabudowy miejscowości,</w:t>
      </w:r>
    </w:p>
    <w:p w14:paraId="24EECA7F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elewacje należy kształtować w nawiązaniu do rozwiązań stosowanych w występujących na danym terenie budynkach historycznych o zachowanych walorach architektonicznych – w zakresie podziałów, detalu, kolorystyki, materiałów elewacyjnych,</w:t>
      </w:r>
    </w:p>
    <w:p w14:paraId="77DB4014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zakazuje się stosowania okładzin sztucznych (np. </w:t>
      </w:r>
      <w:proofErr w:type="spellStart"/>
      <w:r>
        <w:rPr>
          <w:color w:val="000000"/>
          <w:u w:color="000000"/>
        </w:rPr>
        <w:t>siding</w:t>
      </w:r>
      <w:proofErr w:type="spellEnd"/>
      <w:r>
        <w:rPr>
          <w:color w:val="000000"/>
          <w:u w:color="000000"/>
        </w:rPr>
        <w:t>, okładziny z blachy trapezowej),</w:t>
      </w:r>
    </w:p>
    <w:p w14:paraId="31362638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usunąć lub poddać odpowiedniej przebudowie elementy dysharmonizujące, nie spełniające wymagań ochrony strefy konserwatorskiej,</w:t>
      </w:r>
    </w:p>
    <w:p w14:paraId="0564FC01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uzupełniać zieleń wysoką, w tym nasadzenia przydrożne,</w:t>
      </w:r>
    </w:p>
    <w:p w14:paraId="0E2454AF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urządzeń technicznych o gabarytach kolidujących z krajobrazem kulturowym obszaru,</w:t>
      </w:r>
    </w:p>
    <w:p w14:paraId="22D17865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naziemnych zbiorników na gaz,</w:t>
      </w:r>
    </w:p>
    <w:p w14:paraId="590484B8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elementów wysokościowych instalacji odnawialnych źródeł energii,</w:t>
      </w:r>
    </w:p>
    <w:p w14:paraId="1D64725E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wolnostojących silosów, dopuszcza się silosy obudowane</w:t>
      </w:r>
      <w:r>
        <w:rPr>
          <w:color w:val="000000"/>
          <w:u w:color="000000"/>
        </w:rPr>
        <w:br/>
        <w:t>w budynkach,</w:t>
      </w:r>
    </w:p>
    <w:p w14:paraId="31844CB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strefę „K” ochrony konserwatorskiej</w:t>
      </w:r>
      <w:r>
        <w:rPr>
          <w:color w:val="000000"/>
          <w:u w:color="000000"/>
        </w:rPr>
        <w:t>, tożsamą z historycznym układem ruralistycznym wsi Sanie, ujętym w gminnej ewidencji zabytków, w której obowiązują następujące wymogi:</w:t>
      </w:r>
    </w:p>
    <w:p w14:paraId="3B804779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nowa zabudowa powinna nawiązywać do budownictwa regionalnego w </w:t>
      </w:r>
      <w:r>
        <w:rPr>
          <w:color w:val="000000"/>
          <w:u w:color="000000"/>
        </w:rPr>
        <w:t>zakresie skali, bryły, proporcji, detali, kolorystyki i użytych tradycyjnych materiałów budowlanych, starannie wpisując się w krajobraz kulturowy,</w:t>
      </w:r>
    </w:p>
    <w:p w14:paraId="4342C6DF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wyeksponować elementy historycznego układu przestrzennego i kompozycje zieleni,</w:t>
      </w:r>
    </w:p>
    <w:p w14:paraId="73D431A6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wszelka działalność inwestycyjna musi uwzględniać istniejące już związki przestrzenne i planistyczne,</w:t>
      </w:r>
    </w:p>
    <w:p w14:paraId="2E81A8F0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przyznać pierwszeństwo wszelkim działaniom odtworzeniowym i rewaloryzacyjnym, zarówno w przypadku przyrodniczych elementów krajobrazu, jak i w stosunku do historycznej struktury technicznej, instalacji wodnych, sieci komunikacyjnych oraz obiektów zabytkowych znajdujących się w wojewódzkiej i gminnej ewidencji zabytków,</w:t>
      </w:r>
    </w:p>
    <w:p w14:paraId="3F3ACDF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ochronę obiektów ujętych w gminnej ewidencji zabytków</w:t>
      </w:r>
      <w:r>
        <w:rPr>
          <w:color w:val="000000"/>
          <w:u w:color="000000"/>
        </w:rPr>
        <w:t>, dla których obowiązują następujące zasady:</w:t>
      </w:r>
    </w:p>
    <w:p w14:paraId="4DFB465B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 obiekty ujęte w gminnej ewidencji zabytków:</w:t>
      </w:r>
    </w:p>
    <w:p w14:paraId="3BC6E68D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dom, 2 poł. XIX w., Sanie 12,</w:t>
      </w:r>
    </w:p>
    <w:p w14:paraId="588792BA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stodoła, 2 poł. XIX w., Sanie 20,</w:t>
      </w:r>
    </w:p>
    <w:p w14:paraId="6414CBCD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mieszkalny, Sanie 15,</w:t>
      </w:r>
    </w:p>
    <w:p w14:paraId="0CDB5656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budynek gospodarczy, Sanie 15,</w:t>
      </w:r>
    </w:p>
    <w:p w14:paraId="558BD312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wymienionych zabytkowych obiektach obowiązują następujące wymogi:</w:t>
      </w:r>
    </w:p>
    <w:p w14:paraId="702D2B5C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lub w przypadku zniszczenia odtworzyć historyczną bryłę, kształt i geometrię dachu oraz zastosować tradycyjne materiały budowlane, w tym rodzaj, typ i kolor pokrycia dachowego,</w:t>
      </w:r>
    </w:p>
    <w:p w14:paraId="0FE54FC0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utrzymać, a w zniszczonych fragmentach odtworzyć historyczny detal architektoniczny,</w:t>
      </w:r>
    </w:p>
    <w:p w14:paraId="6B313ECE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kształt, rozmiary i rozmieszczenie otworów zgodnie z historycznym wizerunkiem budynku,</w:t>
      </w:r>
    </w:p>
    <w:p w14:paraId="5B435EAB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 lub odtworzyć oryginalną stolarkę okien i drzwi,</w:t>
      </w:r>
    </w:p>
    <w:p w14:paraId="4293AD73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oryginalne elewacje i ich wystrój architektoniczny oraz historyczny układ wnętrz i zachowane elementy wystroju i wyposażenia,</w:t>
      </w:r>
    </w:p>
    <w:p w14:paraId="3671DAC3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wskazane jest stosowanie kolorystyki nawiązującej do stosowanej w przeszłości,</w:t>
      </w:r>
    </w:p>
    <w:p w14:paraId="48E23757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elementy nowoprojektowane instalacji technicznych projektować i montować z zachowaniem wartości zabytkowych obiektów,</w:t>
      </w:r>
    </w:p>
    <w:p w14:paraId="2971EFE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ochronę stanowisk archeologicznych</w:t>
      </w:r>
      <w:r>
        <w:rPr>
          <w:color w:val="000000"/>
          <w:u w:color="000000"/>
        </w:rPr>
        <w:t>, dla których obowiązują następujące zasady:</w:t>
      </w:r>
    </w:p>
    <w:p w14:paraId="130D4EF5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 następujące stanowiska archeologiczne:</w:t>
      </w:r>
    </w:p>
    <w:p w14:paraId="009ABEE9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10/74/73-27 AZP: Punkt osadniczy, Kultura łużycka; Punkt osadniczy, Kultura przeworska, wczesny okres wpływów rzymskich; Ślad osadnictwa, Pradzieje; Punkt osadniczy, Późne średniowiecze i nowożytność,</w:t>
      </w:r>
    </w:p>
    <w:p w14:paraId="4B9AA312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6/70/73-27 AZP: Ślad osadnictwa, Kultura łużycka; Ślad osadnictwa, Pradzieje; Ślad osadnictwa, Wczesne średniowiecze, X-XIII w.,</w:t>
      </w:r>
    </w:p>
    <w:p w14:paraId="066ECCC0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11/75/73-27 AZP: Ślad osadnictwa, Kultura łużycka; Ślad osadnictwa, Pradzieje; Punkt osadniczy, Późne średniowiecze,</w:t>
      </w:r>
    </w:p>
    <w:p w14:paraId="63B18D35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1/65/73-27 AZP: Cmentarzysko ciałopalne, Kultura wschodnio-pomorska,</w:t>
      </w:r>
    </w:p>
    <w:p w14:paraId="2D831195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13/77/73-27 AZP: Punkt osadniczy, Kultura przeworska, wczesny okres wpływów rzymskich; Ślad osadnictwa, Pradzieje,</w:t>
      </w:r>
    </w:p>
    <w:p w14:paraId="1846471D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lastRenderedPageBreak/>
        <w:t>-- </w:t>
      </w:r>
      <w:r>
        <w:rPr>
          <w:color w:val="000000"/>
          <w:u w:color="000000"/>
        </w:rPr>
        <w:t>7/71/73-27 AZP: Punkt osadniczy, Kultura łużycka; Punkt osadniczy, Pradzieje; Ślad osadnictwa, Późne średniowiecze,</w:t>
      </w:r>
    </w:p>
    <w:p w14:paraId="5B22F009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obrębie i zasięgu znajdującego się na terenie objętym planem chronionego stanowiska archeologicznego dla inwestycji związanych z pracami ziemnymi, wymagane jest przeprowadzenie badań archeologicznych, zgodnie z przepisami odrębnymi,</w:t>
      </w:r>
    </w:p>
    <w:p w14:paraId="665F749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 xml:space="preserve">strefę „OW’’ ochrony konserwatorskiej, </w:t>
      </w:r>
      <w:r>
        <w:rPr>
          <w:color w:val="000000"/>
          <w:u w:color="000000"/>
        </w:rPr>
        <w:t>w obrębie której dla inwestycji związanych z pracami ziemnymi, wymagane jest przeprowadzenie badań archeologicznych, zgodnie z przepisami odrębnymi;</w:t>
      </w:r>
    </w:p>
    <w:p w14:paraId="7707BCB5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dóbr kultury współczesnej, z uwagi na brak takich dóbr.</w:t>
      </w:r>
    </w:p>
    <w:p w14:paraId="7EDF6A61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granice i sposoby zagospodarowania terenów lub obiektów podlegających ochronie na podstawie odrębnych przepisów: </w:t>
      </w:r>
      <w:r>
        <w:rPr>
          <w:color w:val="000000"/>
          <w:u w:color="000000"/>
        </w:rPr>
        <w:t>obszar objęty planem miejscowym, w całości położony jest w granicach Głównego Zbiornika Wód Podziemnych nr 303 Pradolina Barycz-Głogów (E), na którym należy zachować zasady określone w przepisach odrębnych.</w:t>
      </w:r>
    </w:p>
    <w:p w14:paraId="5C010A8A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W planie miejscowym </w:t>
      </w:r>
      <w:r>
        <w:rPr>
          <w:b/>
          <w:color w:val="000000"/>
          <w:u w:color="000000"/>
        </w:rPr>
        <w:t>nie określa się</w:t>
      </w:r>
      <w:r>
        <w:rPr>
          <w:color w:val="000000"/>
          <w:u w:color="000000"/>
        </w:rPr>
        <w:t>:</w:t>
      </w:r>
    </w:p>
    <w:p w14:paraId="2EFE415A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terenów górniczych, z uwagi na brak takich terenów;</w:t>
      </w:r>
    </w:p>
    <w:p w14:paraId="6B1DDEC7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 szczególnego zagrożenia powodzią oraz obszarów osuwania się mas ziemnych, z uwagi na brak takich obszarów;</w:t>
      </w:r>
    </w:p>
    <w:p w14:paraId="73F86443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 i sposobów zagospodarowania krajobrazów priorytetowych określonych w audycie krajobrazowym oraz w planach zagospodarowania przestrzennego województwa, z uwagi na brak krajobrazów priorytetowych,</w:t>
      </w:r>
    </w:p>
    <w:p w14:paraId="1B2B54CE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sposobu i terminu tymczasowego zagospodarowania, urządzania i użytkowania terenów, z uwagi na brak potrzeby wyznaczania.</w:t>
      </w:r>
    </w:p>
    <w:p w14:paraId="68611D0E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szczegółowe zasady i warunki scalania i podziału nieruchomości</w:t>
      </w:r>
      <w:r>
        <w:rPr>
          <w:color w:val="000000"/>
          <w:u w:color="000000"/>
        </w:rPr>
        <w:t>:</w:t>
      </w:r>
    </w:p>
    <w:p w14:paraId="70A48118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symbolami MN, MN-U, MW, U:</w:t>
      </w:r>
    </w:p>
    <w:p w14:paraId="71F95BD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06455D7E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2E204D2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283D2C69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oznaczonego symbolem U-P:</w:t>
      </w:r>
    </w:p>
    <w:p w14:paraId="4DDD7E0D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2000m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4539A49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4F6D30D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2AF69F96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pozostałych terenów przeznaczonych na cele inne niż rolne i leśne, a także działek wydzielanych pod komunikację oraz obiekty i urządzenia infrastruktury technicznej:</w:t>
      </w:r>
    </w:p>
    <w:p w14:paraId="52551947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25B7A63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1 m,</w:t>
      </w:r>
    </w:p>
    <w:p w14:paraId="116F60C6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o;</w:t>
      </w:r>
    </w:p>
    <w:p w14:paraId="78E03D87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modernizacji, rozbudowy i budowy systemów komunikacji i infrastruktury technicznej</w:t>
      </w:r>
      <w:r>
        <w:rPr>
          <w:color w:val="000000"/>
          <w:u w:color="000000"/>
        </w:rPr>
        <w:t>:</w:t>
      </w:r>
    </w:p>
    <w:p w14:paraId="4DA56DB0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zaopatrzenia w wodę ustala się:</w:t>
      </w:r>
    </w:p>
    <w:p w14:paraId="5E6DC656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wodę z sieci wodociągowej na zasadach określonych w przepisach odrębnych,</w:t>
      </w:r>
    </w:p>
    <w:p w14:paraId="345EC36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dopuszcza się zaopatrzenie w wodę z indywidualnych ujęć wody na zasadach określonych w przepisach odrębnych,</w:t>
      </w:r>
    </w:p>
    <w:p w14:paraId="327C4C4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dopuszcza się wykorzystanie wód opadowych i </w:t>
      </w:r>
      <w:r>
        <w:rPr>
          <w:color w:val="000000"/>
          <w:u w:color="000000"/>
        </w:rPr>
        <w:t>roztopowych do celów gospodarczych na zasadach określonych w przepisach odrębnych;</w:t>
      </w:r>
    </w:p>
    <w:p w14:paraId="6586CFD3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odprowadzania i unieszkodliwiania ścieków ustala się:</w:t>
      </w:r>
    </w:p>
    <w:p w14:paraId="7FDFCCE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odprowadzanie ścieków do sieci kanalizacyjnej na zasadach określonych w przepisach odrębnych,</w:t>
      </w:r>
    </w:p>
    <w:p w14:paraId="47C4D8C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urządzenia indywidualnego gromadzenia ścieków w postaci zbiorników bezodpływowych na nieczystości ciekłe lub oczyszczalni ścieków na zasadach określonych w przepisach odrębnych;</w:t>
      </w:r>
    </w:p>
    <w:p w14:paraId="65BCB40A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odprowadzania wód opadowych i roztopowych ustala się:</w:t>
      </w:r>
    </w:p>
    <w:p w14:paraId="1353BF7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stosowanie rozwiązań technicznych służących zatrzymaniu wód opadowych i roztopowych z połaci dachowych i terenów utwardzonych w obrębie posesji na zasadach określonych w przepisach odrębnych,</w:t>
      </w:r>
    </w:p>
    <w:p w14:paraId="0EE6392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odprowadzanie wód opadowych i roztopowych siecią kanalizacji deszczowej, na zasadach określonych w przepisach odrębnych;</w:t>
      </w:r>
    </w:p>
    <w:p w14:paraId="312AD0ED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zaopatrzenia w energię elektryczną ustala się:</w:t>
      </w:r>
    </w:p>
    <w:p w14:paraId="529DEC7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elektryczną z dystrybucyjnej sieci elektroenergetycznej, na zasadach określonych w przepisach odrębnych,</w:t>
      </w:r>
    </w:p>
    <w:p w14:paraId="0F84647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z odnawialnych źródeł energii, na zasadach określonych w przepisach odrębnych,</w:t>
      </w:r>
    </w:p>
    <w:p w14:paraId="650E487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terenach zabudowanych oraz przeznaczonych pod zabudowę nowe elektroenergetyczne linie średniego i niskiego napięcia należy realizować wyłącznie jako kablowe;</w:t>
      </w:r>
    </w:p>
    <w:p w14:paraId="70001D3B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zaopatrzenia w gaz ustala się:</w:t>
      </w:r>
    </w:p>
    <w:p w14:paraId="4F6E4C4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gaz z dystrybucyjnej sieci gazowej, na zasadach określonych w przepisach odrębnych,</w:t>
      </w:r>
    </w:p>
    <w:p w14:paraId="5570422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gaz z indywidualnych zbiorników, na zasadach określonych w przepisach odrębnych;</w:t>
      </w:r>
    </w:p>
    <w:p w14:paraId="4EA62177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zaopatrzenia w energię cieplną ustala się:</w:t>
      </w:r>
    </w:p>
    <w:p w14:paraId="565EA98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cieplną z lokalnych i indywidualnych źródeł ciepła, na zasadach określonych w przepisach odrębnych,</w:t>
      </w:r>
    </w:p>
    <w:p w14:paraId="089A449D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cieplną z odnawialnych źródeł energii, na zasadach określonych w przepisach odrębnych;</w:t>
      </w:r>
    </w:p>
    <w:p w14:paraId="2146E0BA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Ustalenia określone w § 10 ust. 1 pkt 1-6 mogą występować pojedynczo lub łącznie;</w:t>
      </w:r>
    </w:p>
    <w:p w14:paraId="3728010F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urządzeń infrastruktury teletechnicznej dopuszcza się lokalizację inwestycji z zakresu łączności publicznej – w rozumieniu i na zasadach określonych w przepisach odrębnych;</w:t>
      </w:r>
    </w:p>
    <w:p w14:paraId="14BD6CDA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 zakresie liczby miejsc do parkowania ustala się następujące zasady:</w:t>
      </w:r>
    </w:p>
    <w:p w14:paraId="420596D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jednorodzinnej, zabudowy mieszkaniowej wielorodzinnej oraz zabudowy zagrodowej obowiązują minimalnie 2 miejsce do parkowania na 1 lokal mieszkalny,</w:t>
      </w:r>
    </w:p>
    <w:p w14:paraId="6B78F0C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usług obowiązuje minimalnie 1 miejsce do parkowania na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</w:t>
      </w:r>
    </w:p>
    <w:p w14:paraId="19B8E18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 produkcji, produkcji w gospodarstwach rolnych, hodowlanych, ogrodniczych oraz akwakultury i obsługi rybactwa obowiązuje minimalnie 1 miejsce do parkowania na 2 zatrudnionych,</w:t>
      </w:r>
    </w:p>
    <w:p w14:paraId="64AFA6C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pozostałych terenów ustala się brak konieczności wyznaczania miejsc do parkowania,</w:t>
      </w:r>
    </w:p>
    <w:p w14:paraId="419DA10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do parkowania pojazdów zaopatrzonych w kartę parkingową obowiązuje liczba miejsc w ilości co najmniej:</w:t>
      </w:r>
    </w:p>
    <w:p w14:paraId="5737F5CA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 miejsce do parkowania – jeżeli liczba miejsc wynosi od 6 do 15,</w:t>
      </w:r>
    </w:p>
    <w:p w14:paraId="18DD3B93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 miejsce do parkowania – jeżeli liczba miejsc wynosi od 16 do 40,</w:t>
      </w:r>
    </w:p>
    <w:p w14:paraId="7A432D2C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3 miejsce do parkowania – jeżeli liczba miejsc wynosi od 41 do 100,</w:t>
      </w:r>
    </w:p>
    <w:p w14:paraId="7E28E8B7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4% ogólnej liczby miejsc postojowych jeżeli ogólna liczba miejsc wynosi więcej niż 100,</w:t>
      </w:r>
    </w:p>
    <w:p w14:paraId="0274BEE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 przypadku terenów o więcej niż jednym przeznaczeniu, ilość miejsc do parkowania należy obliczać jako sumę minimalnej liczby miejsc wymaganych dla każdego z realizowanych przeznaczeń,</w:t>
      </w:r>
    </w:p>
    <w:p w14:paraId="53CB5DB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sposób realizacji miejsc do parkowania: sytuowanie miejsc do parkowania na terenie własnym inwestora w formie stanowisk postojowych lub garaży,</w:t>
      </w:r>
    </w:p>
    <w:p w14:paraId="3BD7BE4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istniejącej zabudowy w przypadku remontu, przebudowy: dopuszcza się utrzymanie dotychczasowej ilości miejsc do parkowania;</w:t>
      </w:r>
    </w:p>
    <w:p w14:paraId="5EAB977D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powiązań układu komunikacyjnego z układem zewnętrznym oraz obsługi komunikacyjnej ustala się:</w:t>
      </w:r>
    </w:p>
    <w:p w14:paraId="77DF6D4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powiązanie układu komunikacyjnego objętego ustaleniami planu z zewnętrznym układem komunikacyjnym tj. drogami publicznymi, na zasadach określonych w przepisach odrębnych,</w:t>
      </w:r>
    </w:p>
    <w:p w14:paraId="516F1E1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obsługę komunikacyjną:</w:t>
      </w:r>
    </w:p>
    <w:p w14:paraId="2EE263A6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lokalnej oznaczonej w części graficznej planu miejscowego symbolem 1KDL,</w:t>
      </w:r>
    </w:p>
    <w:p w14:paraId="3E15A47B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terenów komunikacji drogowej wewnętrznej oznaczonych w części graficznej planu miejscowego symbolami: 1KR, 2KR,</w:t>
      </w:r>
    </w:p>
    <w:p w14:paraId="5F53DFF8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dojazdów, które mogą być wydzielane na terenach objętych planem, dla których należy przyjąć szerokość minimum 8 m i zapewnić widoczność przy skrzyżowaniu z drogami, a w przypadku dojazdów nieprzelotowych zakończyć je placem manewrowym o wymiarach minimum 12,5 m x 12,5 m,</w:t>
      </w:r>
    </w:p>
    <w:p w14:paraId="2FC40C67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przyległych dróg publicznych zlokalizowanych poza granicami niniejszego planu, na zasadach określonych w przepisach odrębnych.</w:t>
      </w:r>
    </w:p>
    <w:p w14:paraId="0F1CA70F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szczególne warunki zagospodarowania terenów oraz ograniczenia w ich użytkowaniu, w tym zakaz zabudowy:</w:t>
      </w:r>
    </w:p>
    <w:p w14:paraId="5941A38B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istniejących napowietrznych linii elektroenergetycznych ustala się:</w:t>
      </w:r>
    </w:p>
    <w:p w14:paraId="462BF512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pas technologiczny napowietrznej linii elektroenergetycznej niskiego napięcia – o szerokości 7m (po 3,5m po każdej ze stron od osi linii),</w:t>
      </w:r>
    </w:p>
    <w:p w14:paraId="1F658AC2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pas technologiczny napowietrznej linii elektroenergetycznej średniego napięcia – o szerokości 14m (po 7m po każdej ze stron od osi linii),</w:t>
      </w:r>
    </w:p>
    <w:p w14:paraId="1588F87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pas technologiczny napowietrznej linii elektroenergetycznej wysokiego napięcia – o </w:t>
      </w:r>
      <w:r>
        <w:rPr>
          <w:color w:val="000000"/>
          <w:u w:color="000000"/>
        </w:rPr>
        <w:t>szerokości 22m (po 11m po każdej ze stron od osi linii);</w:t>
      </w:r>
    </w:p>
    <w:p w14:paraId="42AFB0DC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pasach technologicznych napowietrznych linii elektroenergetycznych wymienionych w pkt 1) ustala się zakaz sytuowania instalacji fotowoltaicznych oraz sadzenia roślinności wysokiej i o rozbudowanym systemie korzeniowym, w tym obowiązuje szerokość pasa wycinki podstawowej drzew na trasie linii zgodnie z przepisami odrębnymi;</w:t>
      </w:r>
    </w:p>
    <w:p w14:paraId="6920CF65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 skablowania napowietrznych linii, pasy technologiczne wymienione w pkt 1) nie obowiązują.</w:t>
      </w:r>
    </w:p>
    <w:p w14:paraId="2AC14FFA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wymagania wynikające z potrzeb kształtowania przestrzeni publicznych: 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granicach planu za przestrzeń publiczną uznaje się teren oznaczony w części graficznej planu miejscowego symbolem 1KDL, dla którego obowiązują zasady ustalone w § 4 pkt 4) oraz ustaleniach szczegółowych.</w:t>
      </w:r>
    </w:p>
    <w:p w14:paraId="5525EE14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 xml:space="preserve">Ustala się </w:t>
      </w:r>
      <w:r>
        <w:rPr>
          <w:b/>
          <w:color w:val="000000"/>
          <w:u w:color="000000"/>
        </w:rPr>
        <w:t>stawki procentowe</w:t>
      </w:r>
      <w:r>
        <w:rPr>
          <w:color w:val="000000"/>
          <w:u w:color="000000"/>
        </w:rPr>
        <w:t>, na podstawie których nalicza się opłatę, o której mowa w art. 36 ust. 4 ustawy z dnia 27 marca 2003 r. o planowaniu i zagospodarowaniu przestrzennym, w wysokości 30%.</w:t>
      </w:r>
    </w:p>
    <w:p w14:paraId="2B2B6150" w14:textId="77777777" w:rsidR="00A77B3E" w:rsidRDefault="00972B1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szczegółowe</w:t>
      </w:r>
    </w:p>
    <w:p w14:paraId="3A41110E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16MN,</w:t>
      </w:r>
      <w:r>
        <w:rPr>
          <w:color w:val="000000"/>
          <w:u w:color="000000"/>
        </w:rPr>
        <w:t xml:space="preserve"> ustala się:</w:t>
      </w:r>
    </w:p>
    <w:p w14:paraId="6D381B80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jednorodzinnej,</w:t>
      </w:r>
    </w:p>
    <w:p w14:paraId="1C840067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0F102F7C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7AFA6722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7353814E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65947436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wyjątkiem obiektów usług turystyki oraz usług gastronomii;</w:t>
      </w:r>
    </w:p>
    <w:p w14:paraId="0B3B2498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76F7A10D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4EA54A7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CBE57EA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2D3FB6A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004DF37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4981DFD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167428A0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01473FDF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2569F4E7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6CE4FFCF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28368EE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5014853D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 </w:t>
      </w:r>
      <w:proofErr w:type="spellStart"/>
      <w:r>
        <w:rPr>
          <w:color w:val="000000"/>
          <w:u w:color="000000"/>
        </w:rPr>
        <w:t>strefie„B</w:t>
      </w:r>
      <w:proofErr w:type="spellEnd"/>
      <w:r>
        <w:rPr>
          <w:color w:val="000000"/>
          <w:u w:color="000000"/>
        </w:rPr>
        <w:t>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3E4848C8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761CEF67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4F193EF3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1690C5EC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4B05B9D0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35B63A8D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2AF112D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7D6C4686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</w:t>
      </w:r>
      <w:r>
        <w:rPr>
          <w:color w:val="000000"/>
          <w:u w:color="000000"/>
        </w:rPr>
        <w:t>kolorach pastelowych zgaszonych w odcieniach bieli, beżu lub szarości,</w:t>
      </w:r>
    </w:p>
    <w:p w14:paraId="3DDA7805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13B1CAE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53C7EFEA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384BC06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h) </w:t>
      </w:r>
      <w:r>
        <w:rPr>
          <w:color w:val="000000"/>
          <w:u w:color="000000"/>
        </w:rPr>
        <w:t>minimalna liczba miejsc do parkowania zgodnie z § 10 pkt 9),</w:t>
      </w:r>
    </w:p>
    <w:p w14:paraId="4D20C692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7D6EADB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 pkt 1) lit. b),</w:t>
      </w:r>
    </w:p>
    <w:p w14:paraId="1A0C6902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obiektów ujętych w gminnej ewidencji zabytków obowiązują ustalenia §6 pkt 1) lit. c).</w:t>
      </w:r>
    </w:p>
    <w:p w14:paraId="69252580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 lub usług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1MN-U, 2MN-U </w:t>
      </w:r>
      <w:r>
        <w:rPr>
          <w:color w:val="000000"/>
          <w:u w:color="000000"/>
        </w:rPr>
        <w:t>ustala się:</w:t>
      </w:r>
    </w:p>
    <w:p w14:paraId="511C8D0B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4F5BCE4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2,</w:t>
      </w:r>
    </w:p>
    <w:p w14:paraId="1004D66E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2;</w:t>
      </w:r>
    </w:p>
    <w:p w14:paraId="24A2F7A1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</w:t>
      </w:r>
    </w:p>
    <w:p w14:paraId="1B02A1C6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4F04EAF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0AB5FA5E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0252A15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70390F8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EDD4D32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2AE72C2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019524A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0.4,</w:t>
      </w:r>
    </w:p>
    <w:p w14:paraId="51AC6174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5D2374DC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</w:p>
    <w:p w14:paraId="3446F96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21DBE52D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dachów płaskich: dowolne pokrycie dachu,</w:t>
      </w:r>
    </w:p>
    <w:p w14:paraId="0BF3BEA0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20E4BA59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1CDA0FB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48A57CF3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FB73FDD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419B3A4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90D507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9),</w:t>
      </w:r>
    </w:p>
    <w:p w14:paraId="3ED43C9F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wielorodzinnej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1MW, </w:t>
      </w:r>
      <w:r>
        <w:rPr>
          <w:color w:val="000000"/>
          <w:u w:color="000000"/>
        </w:rPr>
        <w:t>ustala się:</w:t>
      </w:r>
    </w:p>
    <w:p w14:paraId="6F26685D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wielorodzinnej,</w:t>
      </w:r>
    </w:p>
    <w:p w14:paraId="2F7EB85D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2B7395F0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 teren usług handlu wielkopowierzchniowego;</w:t>
      </w:r>
    </w:p>
    <w:p w14:paraId="0C4BDCFA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</w:t>
      </w:r>
      <w:r>
        <w:rPr>
          <w:color w:val="000000"/>
          <w:u w:color="000000"/>
        </w:rPr>
        <w:t>wyjątkiem obiektów usług turystyki oraz usług gastronomii;</w:t>
      </w:r>
    </w:p>
    <w:p w14:paraId="55690C8E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3A13841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wskaźnik nadziemnej intensywności zabudowy:</w:t>
      </w:r>
    </w:p>
    <w:p w14:paraId="19BF64C3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E8950B9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54EAB8C6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4BBF6F87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0A266197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7D7AA5A2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6531388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karpiówka, matowa w kolorze ceglastym czerwonym,</w:t>
      </w:r>
    </w:p>
    <w:p w14:paraId="2C51820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4DF74115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21888EFC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EE2108C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11A18AC7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7D55A57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9),</w:t>
      </w:r>
    </w:p>
    <w:p w14:paraId="59B8E63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„B” ochrony konserwatorskiej obowiązują ustalenia §6 pkt 1) lit. a).</w:t>
      </w:r>
    </w:p>
    <w:p w14:paraId="2565E504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1U,</w:t>
      </w:r>
      <w:r>
        <w:rPr>
          <w:color w:val="000000"/>
          <w:u w:color="000000"/>
        </w:rPr>
        <w:t xml:space="preserve"> ustala się:</w:t>
      </w:r>
    </w:p>
    <w:p w14:paraId="510F9408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</w:t>
      </w:r>
      <w:r>
        <w:rPr>
          <w:color w:val="000000"/>
          <w:u w:color="000000"/>
        </w:rPr>
        <w:t>zastrzeżeniem pkt 2,</w:t>
      </w:r>
    </w:p>
    <w:p w14:paraId="5DAEDEFB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 teren usług handlu wielkopowierzchniowego;</w:t>
      </w:r>
    </w:p>
    <w:p w14:paraId="18AD287D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45F70D1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1BD0DDC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3CC96BBE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1637220E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5C22383E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27D49577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2176C22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35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64026C4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</w:t>
      </w:r>
    </w:p>
    <w:p w14:paraId="4C00455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4171163D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2A6EF0C3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7D173111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7DC25D45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2481294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9),</w:t>
      </w:r>
    </w:p>
    <w:p w14:paraId="0A18B94C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„B” ochrony konserwatorskiej obowiązują ustalenia §6 pkt 1) lit. a),</w:t>
      </w:r>
    </w:p>
    <w:p w14:paraId="718956CC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terenu objętego strefą „K” ochrony konserwatorskiej obowiązują ustalenia §6 pkt 1) lit. b).</w:t>
      </w:r>
    </w:p>
    <w:p w14:paraId="3CD3C72C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lub produkcji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1U-P, </w:t>
      </w:r>
      <w:r>
        <w:rPr>
          <w:color w:val="000000"/>
          <w:u w:color="000000"/>
        </w:rPr>
        <w:t>ustala się:</w:t>
      </w:r>
    </w:p>
    <w:p w14:paraId="238CAE97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671294E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2,</w:t>
      </w:r>
    </w:p>
    <w:p w14:paraId="4EE6FE5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produkcji</w:t>
      </w:r>
      <w:r>
        <w:rPr>
          <w:color w:val="000000"/>
          <w:u w:color="000000"/>
        </w:rPr>
        <w:t>, z zastrzeżeniem pkt 2,</w:t>
      </w:r>
    </w:p>
    <w:p w14:paraId="0EB73D33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</w:t>
      </w:r>
    </w:p>
    <w:p w14:paraId="26B383D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wielkopowierzchniowego;</w:t>
      </w:r>
    </w:p>
    <w:p w14:paraId="4FD6101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elektrowni wiatrowej;</w:t>
      </w:r>
    </w:p>
    <w:p w14:paraId="62354B8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przemysłu portowego;</w:t>
      </w:r>
    </w:p>
    <w:p w14:paraId="319E7053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2647FF8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3230D60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62C4F736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394CBC9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4FEADA5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7FC8443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40EE5D7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nachylenie do 10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lub dachy dwuspadowe o jednakowym kącie nachylenia połaci 25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,</w:t>
      </w:r>
    </w:p>
    <w:p w14:paraId="13850DA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minimalna liczba miejsc do parkowania zgodnie z § 10 pkt 9),</w:t>
      </w:r>
    </w:p>
    <w:p w14:paraId="72689A1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 obszaru ujętego w gminnej ewidencji zabytków obowiązują ustalenia §6 pkt 1) lit. c).</w:t>
      </w:r>
    </w:p>
    <w:p w14:paraId="31EBBAC5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lokalnej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1KDL, </w:t>
      </w:r>
      <w:r>
        <w:rPr>
          <w:color w:val="000000"/>
          <w:u w:color="000000"/>
        </w:rPr>
        <w:t>ustala się:</w:t>
      </w:r>
    </w:p>
    <w:p w14:paraId="3B68F8C0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lokalnej</w:t>
      </w:r>
      <w:r>
        <w:rPr>
          <w:color w:val="000000"/>
          <w:u w:color="000000"/>
        </w:rPr>
        <w:t>;</w:t>
      </w:r>
    </w:p>
    <w:p w14:paraId="451BA7C7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510068D0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komunikacji drogowej wewnętrznej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>1KR, 2KR</w:t>
      </w:r>
      <w:r>
        <w:rPr>
          <w:color w:val="000000"/>
          <w:u w:color="000000"/>
        </w:rPr>
        <w:t xml:space="preserve"> ustala się:</w:t>
      </w:r>
    </w:p>
    <w:p w14:paraId="17C1E681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komunikacji drogowej wewnętrznej</w:t>
      </w:r>
      <w:r>
        <w:rPr>
          <w:color w:val="000000"/>
          <w:u w:color="000000"/>
        </w:rPr>
        <w:t>;</w:t>
      </w:r>
    </w:p>
    <w:p w14:paraId="04B4AEC5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22A16F1F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elektroenergetyki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1IE</w:t>
      </w:r>
      <w:r>
        <w:rPr>
          <w:color w:val="000000"/>
          <w:u w:color="000000"/>
        </w:rPr>
        <w:t>, ustala się:</w:t>
      </w:r>
    </w:p>
    <w:p w14:paraId="2630AA8A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elektroenergetyki</w:t>
      </w:r>
      <w:r>
        <w:rPr>
          <w:color w:val="000000"/>
          <w:u w:color="000000"/>
        </w:rPr>
        <w:t>;</w:t>
      </w:r>
    </w:p>
    <w:p w14:paraId="340B4567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2F724F0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F4E3B0C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73C1919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0,8,</w:t>
      </w:r>
    </w:p>
    <w:p w14:paraId="279B907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0.8,</w:t>
      </w:r>
    </w:p>
    <w:p w14:paraId="16025B3C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0.1,</w:t>
      </w:r>
    </w:p>
    <w:p w14:paraId="7372C82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1574E186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geometria dachu: dachy płaskie o kącie nachylenie do 10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lub dachy dwuspadowe o jednakowym kącie nachylenia połaci 25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</w:t>
      </w:r>
    </w:p>
    <w:p w14:paraId="3FFCA06E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związanej z rolnictwem oraz akwakultury i obsługi rybactwa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>1RZ-RA, 2RZ-RA,</w:t>
      </w:r>
      <w:r>
        <w:rPr>
          <w:color w:val="000000"/>
          <w:u w:color="000000"/>
        </w:rPr>
        <w:t xml:space="preserve"> ustala się:</w:t>
      </w:r>
    </w:p>
    <w:p w14:paraId="59A37221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6E5E317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b/>
          <w:color w:val="000000"/>
          <w:u w:color="000000"/>
        </w:rPr>
        <w:t xml:space="preserve">teren zabudowy związanej z rolnictwem, </w:t>
      </w:r>
      <w:r>
        <w:rPr>
          <w:color w:val="000000"/>
          <w:u w:color="000000"/>
        </w:rPr>
        <w:t>z zastrzeżeniem pkt 2,</w:t>
      </w:r>
    </w:p>
    <w:p w14:paraId="2E9D1F3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akwakultury i obsługi rybactwa</w:t>
      </w:r>
      <w:r>
        <w:rPr>
          <w:color w:val="000000"/>
          <w:u w:color="000000"/>
        </w:rPr>
        <w:t>;</w:t>
      </w:r>
    </w:p>
    <w:p w14:paraId="5CC256AB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 teren wielkotowarowej produkcji rolnej;</w:t>
      </w:r>
    </w:p>
    <w:p w14:paraId="2683BCFB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26F5C16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D0851B2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33300FF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56B9D64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325D6E7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4564409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320FE8B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27602706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2EC5E9E5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79AAD26D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29579071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1F4D07CF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693151FC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24231CD2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9),</w:t>
      </w:r>
    </w:p>
    <w:p w14:paraId="721569D2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„K” ochrony konserwatorskiej obowiązują ustalenia §6 pkt 1) lit. b).</w:t>
      </w:r>
    </w:p>
    <w:p w14:paraId="3A898CB5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zagrodowej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1RZM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12RZM,</w:t>
      </w:r>
      <w:r>
        <w:rPr>
          <w:color w:val="000000"/>
          <w:u w:color="000000"/>
        </w:rPr>
        <w:t xml:space="preserve"> ustala się:</w:t>
      </w:r>
    </w:p>
    <w:p w14:paraId="49E7D97D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zagrodowej</w:t>
      </w:r>
      <w:r>
        <w:rPr>
          <w:color w:val="000000"/>
          <w:u w:color="000000"/>
        </w:rPr>
        <w:t>;</w:t>
      </w:r>
    </w:p>
    <w:p w14:paraId="5E8F732A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4041FB8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E5B721D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53596FA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03EDE9DD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59316C1F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580DBAE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21C70682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6B51689D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2D274280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562EFEE4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63F55B39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56B99736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28EAD5F9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541F85C0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585AFDDA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35C96BA3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0B332515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44225A70" w14:textId="77777777" w:rsidR="00A77B3E" w:rsidRDefault="00972B1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74F46349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E91D73C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1BFB1268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9FDF20E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6E3BC77E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066126C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§ 10 pkt 9),</w:t>
      </w:r>
    </w:p>
    <w:p w14:paraId="5818AF3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 pkt 1) lit. a),</w:t>
      </w:r>
    </w:p>
    <w:p w14:paraId="46071A3D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b),</w:t>
      </w:r>
    </w:p>
    <w:p w14:paraId="19866BA8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obiektu ujętego w gminnej ewidencji zabytków obowiązują ustalenia §6 pkt 1) lit. c).</w:t>
      </w:r>
    </w:p>
    <w:p w14:paraId="54DCC92C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 xml:space="preserve">terenów wód powierzchniowych śródlądowych, </w:t>
      </w:r>
      <w:r>
        <w:rPr>
          <w:color w:val="000000"/>
          <w:u w:color="000000"/>
        </w:rPr>
        <w:t xml:space="preserve">oznaczonych w części graficznej planu miejscowego symbolami </w:t>
      </w:r>
      <w:r>
        <w:rPr>
          <w:b/>
          <w:color w:val="000000"/>
          <w:u w:color="000000"/>
        </w:rPr>
        <w:t xml:space="preserve">1WS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6WS,</w:t>
      </w:r>
      <w:r>
        <w:rPr>
          <w:color w:val="000000"/>
          <w:u w:color="000000"/>
        </w:rPr>
        <w:t xml:space="preserve"> ustala się przeznaczenie: </w:t>
      </w:r>
      <w:r>
        <w:rPr>
          <w:b/>
          <w:color w:val="000000"/>
          <w:u w:color="000000"/>
        </w:rPr>
        <w:t>teren wód powierzchniowych śródlądowych.</w:t>
      </w:r>
    </w:p>
    <w:p w14:paraId="351E7F37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 xml:space="preserve">terenów zieleni urządzonej, </w:t>
      </w:r>
      <w:r>
        <w:rPr>
          <w:color w:val="000000"/>
          <w:u w:color="000000"/>
        </w:rPr>
        <w:t xml:space="preserve">oznaczonych w części graficznej planu miejscowego symbolami </w:t>
      </w:r>
      <w:r>
        <w:rPr>
          <w:b/>
          <w:color w:val="000000"/>
          <w:u w:color="000000"/>
        </w:rPr>
        <w:t xml:space="preserve">1ZP, 2ZP </w:t>
      </w:r>
      <w:r>
        <w:rPr>
          <w:color w:val="000000"/>
          <w:u w:color="000000"/>
        </w:rPr>
        <w:t>ustala się:</w:t>
      </w:r>
    </w:p>
    <w:p w14:paraId="6E033FD6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zieleni urządzonej</w:t>
      </w:r>
      <w:r>
        <w:rPr>
          <w:color w:val="000000"/>
          <w:u w:color="000000"/>
        </w:rPr>
        <w:t>;</w:t>
      </w:r>
    </w:p>
    <w:p w14:paraId="0DB4F34D" w14:textId="77777777" w:rsidR="00A77B3E" w:rsidRDefault="00972B1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71E67C81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2434F29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B4099C1" w14:textId="77777777" w:rsidR="00A77B3E" w:rsidRDefault="00972B1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0.3,</w:t>
      </w:r>
    </w:p>
    <w:p w14:paraId="5857745A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0.3,</w:t>
      </w:r>
    </w:p>
    <w:p w14:paraId="2E178879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0.7,</w:t>
      </w:r>
    </w:p>
    <w:p w14:paraId="57DB5363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m,</w:t>
      </w:r>
    </w:p>
    <w:p w14:paraId="141AD71B" w14:textId="77777777" w:rsidR="00A77B3E" w:rsidRDefault="00972B1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dla terenu objętego strefą „B” ochrony konserwatorskiej obowiązują ustalenia §6 pkt 1) lit. a).</w:t>
      </w:r>
    </w:p>
    <w:p w14:paraId="64BAEDFD" w14:textId="77777777" w:rsidR="00A77B3E" w:rsidRDefault="00972B1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7248F22D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Wykonanie uchwały powierza się Burmistrzowi Gminy Żmigród.</w:t>
      </w:r>
    </w:p>
    <w:p w14:paraId="737F9E6F" w14:textId="77777777" w:rsidR="00A77B3E" w:rsidRDefault="00972B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Uchwała wchodzi w życie po upływie 14 </w:t>
      </w:r>
      <w:r>
        <w:rPr>
          <w:color w:val="000000"/>
          <w:u w:color="000000"/>
        </w:rPr>
        <w:t>dni od dnia ogłoszenia w Dzienniku Urzędowym Województwa Dolnośląskiego.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4E600" w14:textId="77777777" w:rsidR="00972B10" w:rsidRDefault="00972B10">
      <w:r>
        <w:separator/>
      </w:r>
    </w:p>
  </w:endnote>
  <w:endnote w:type="continuationSeparator" w:id="0">
    <w:p w14:paraId="3523461C" w14:textId="77777777" w:rsidR="00972B10" w:rsidRDefault="00972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92BA9" w14:paraId="48A7F8E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C2712F2" w14:textId="0D2709EE" w:rsidR="00492BA9" w:rsidRDefault="00576762">
          <w:pPr>
            <w:jc w:val="left"/>
            <w:rPr>
              <w:sz w:val="18"/>
            </w:rPr>
          </w:pPr>
          <w:r>
            <w:rPr>
              <w:sz w:val="18"/>
            </w:rPr>
            <w:t xml:space="preserve"> 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20EB0F8" w14:textId="77777777" w:rsidR="00492BA9" w:rsidRDefault="00972B1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7676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F03A0F5" w14:textId="77777777" w:rsidR="00492BA9" w:rsidRDefault="00492BA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60C67" w14:textId="77777777" w:rsidR="00972B10" w:rsidRDefault="00972B10">
      <w:r>
        <w:separator/>
      </w:r>
    </w:p>
  </w:footnote>
  <w:footnote w:type="continuationSeparator" w:id="0">
    <w:p w14:paraId="415E3AD3" w14:textId="77777777" w:rsidR="00972B10" w:rsidRDefault="00972B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92BA9"/>
    <w:rsid w:val="00576762"/>
    <w:rsid w:val="00972B10"/>
    <w:rsid w:val="00A77B3E"/>
    <w:rsid w:val="00CA2A55"/>
    <w:rsid w:val="00D72A27"/>
    <w:rsid w:val="00DF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14D6DB"/>
  <w15:docId w15:val="{BAA7D3E3-6DE5-4D91-9BA2-5D63EF64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767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76762"/>
    <w:rPr>
      <w:sz w:val="22"/>
      <w:szCs w:val="24"/>
    </w:rPr>
  </w:style>
  <w:style w:type="paragraph" w:styleId="Stopka">
    <w:name w:val="footer"/>
    <w:basedOn w:val="Normalny"/>
    <w:link w:val="StopkaZnak"/>
    <w:rsid w:val="005767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6762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5190</Words>
  <Characters>31145</Characters>
  <Application>Microsoft Office Word</Application>
  <DocSecurity>0</DocSecurity>
  <Lines>259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ŻMIGRODZIE</Company>
  <LinksUpToDate>false</LinksUpToDate>
  <CharactersWithSpaces>36263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dla części obrębu Sanie</dc:subject>
  <dc:creator>graba</dc:creator>
  <cp:lastModifiedBy>Patrycja Graba</cp:lastModifiedBy>
  <cp:revision>3</cp:revision>
  <cp:lastPrinted>2026-03-16T14:58:00Z</cp:lastPrinted>
  <dcterms:created xsi:type="dcterms:W3CDTF">2026-03-16T15:57:00Z</dcterms:created>
  <dcterms:modified xsi:type="dcterms:W3CDTF">2026-03-16T14:58:00Z</dcterms:modified>
  <cp:category>Akt prawny</cp:category>
</cp:coreProperties>
</file>