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B9B9E" w14:textId="77777777" w:rsidR="00A77B3E" w:rsidRDefault="00A77B3E" w:rsidP="00895C5E">
      <w:pPr>
        <w:jc w:val="left"/>
        <w:rPr>
          <w:sz w:val="20"/>
        </w:rPr>
      </w:pPr>
    </w:p>
    <w:p w14:paraId="03ADB8DF" w14:textId="77777777" w:rsidR="00A77B3E" w:rsidRDefault="00306A0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3A99E687" w14:textId="77777777" w:rsidR="00A77B3E" w:rsidRDefault="00306A09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3D2DA6A1" w14:textId="77777777" w:rsidR="00A77B3E" w:rsidRDefault="00306A09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Ruda Żmigrodzka</w:t>
      </w:r>
    </w:p>
    <w:p w14:paraId="1B5E434F" w14:textId="77777777" w:rsidR="00A77B3E" w:rsidRDefault="00306A09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</w:t>
      </w:r>
      <w:r>
        <w:br/>
        <w:t>(</w:t>
      </w:r>
      <w:proofErr w:type="spellStart"/>
      <w:r>
        <w:t>t.j</w:t>
      </w:r>
      <w:proofErr w:type="spellEnd"/>
      <w:r>
        <w:t>. Dz. U. z 2024 r. poz. 1130 ze zm.) w związku z art. 67 ust. 3 pkt 2 ustawy z dnia 7 lipca 2023 r. o zmianie ustawy o planowaniu i zagospodarowaniu przestrzennym oraz niektórych innych ustaw (Dz. U. z 2023 r. poz. 1688) oraz w związku z Uchwałą Nr 0007.XI.100.2025 Rady Miejskiej w Żmigrodzie z dnia 29 stycznia 2025 r. w sprawie przystąpienia do sporządzenia miejscowego planu zagospodarowania przestrzennego dla części obrębu Ruda Żmigrodzka, po stwierdzeniu, że plan nie narusza Studium uwarunkowań i ki</w:t>
      </w:r>
      <w:r>
        <w:t>erunków zagospodarowania przestrzennego gminy Żmigród uchwalonego Uchwałą Nr 0007.XVI.156.2025 Rady Miejskiej w Żmigrodzie z dnia 25 września 2025 r., Rada Miejska w Żmigrodzie uchwala co następuje:</w:t>
      </w:r>
    </w:p>
    <w:p w14:paraId="0A48F8DB" w14:textId="77777777" w:rsidR="00A77B3E" w:rsidRDefault="00306A09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2C7FA427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Ruda Żmigrodzka, obejmujący obszar zawarty w granicach określonych w </w:t>
      </w:r>
      <w:r>
        <w:t>części graficznej planu miejscowego stanowiącej załącznik nr 1 do uchwały.</w:t>
      </w:r>
    </w:p>
    <w:p w14:paraId="37C947A8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3FCEC98E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7B171809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40020E1A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29E3C69A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2246BC8B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0EBBD5A0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56FF0648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</w:t>
      </w:r>
    </w:p>
    <w:p w14:paraId="10A0E9FA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083CCBEE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budynki, przy czym:</w:t>
      </w:r>
    </w:p>
    <w:p w14:paraId="1F680E1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sytuowane główną kalenicą równolegle w stosunku do obowiązującej linii zabudowy należy lokalizować w taki sposób, aby elewacja frontowa była położona na obowiązującej linii zabudowy na odcinku co najmniej 70% długości tej elewacji,</w:t>
      </w:r>
    </w:p>
    <w:p w14:paraId="75F1CE77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sytuowane główną kalenicą nierównolegle, z dopuszczalnym odchyleniem w zakresie od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w stosunku do obowiązującej linii zabudowy, należy lokalizować w taki sposób, aby najbardziej wysunięty narożnik budynku był styczny do obowiązującej linii zabudowy,</w:t>
      </w:r>
    </w:p>
    <w:p w14:paraId="588A8EF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zasadzie tej nie podlegają:</w:t>
      </w:r>
    </w:p>
    <w:p w14:paraId="569B4437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nowe budynki, które lokalizowane będą w odległości większej niż 20 </w:t>
      </w:r>
      <w:r>
        <w:rPr>
          <w:color w:val="000000"/>
          <w:u w:color="000000"/>
        </w:rPr>
        <w:t>m od obowiązującej linii zabudowy określonej w części graficznej planu miejscowego,</w:t>
      </w:r>
    </w:p>
    <w:p w14:paraId="1D94CB73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infrastruktury technicznej,</w:t>
      </w:r>
    </w:p>
    <w:p w14:paraId="704DA99B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6E708D4D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6EE9B5AF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podziemne części budynków,</w:t>
      </w:r>
    </w:p>
    <w:p w14:paraId="16EBFE60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768A6FD4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37F118B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374F0D43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6EBC8DD1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529979E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64E6207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6B78E3CD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są:</w:t>
      </w:r>
    </w:p>
    <w:p w14:paraId="17C81680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ustalenia oznaczone na części graficznej planu miejscowego:</w:t>
      </w:r>
    </w:p>
    <w:p w14:paraId="7213FD0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obszaru objętego planem miejscowym,</w:t>
      </w:r>
    </w:p>
    <w:p w14:paraId="03DF9951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linia rozgraniczająca tereny o różnym przeznaczeniu lub różnych zasadach zagospodarowania,</w:t>
      </w:r>
    </w:p>
    <w:p w14:paraId="340977E4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nieprzekraczalna linia zabudowy,</w:t>
      </w:r>
    </w:p>
    <w:p w14:paraId="6A4939E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obowiązująca linia zabudowy,</w:t>
      </w:r>
    </w:p>
    <w:p w14:paraId="163EFEC1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symbole i oznaczenia graficzne wraz z numeracją określające przeznaczenie terenów,</w:t>
      </w:r>
    </w:p>
    <w:p w14:paraId="09BFEF8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obszar szczególnego zagrożenia powodzią, na którym prawdopodobieństwo wystąpienia powodzi jest średnie i wynosi 1%,</w:t>
      </w:r>
    </w:p>
    <w:p w14:paraId="2355F254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obszar szczególnego zagrożenia powodzią, na którym prawdopodobieństwo wystąpienia powodzi jest wysokie i wynosi 10%,</w:t>
      </w:r>
    </w:p>
    <w:p w14:paraId="333E4EE4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granica złoża gazu ziemnego „</w:t>
      </w:r>
      <w:proofErr w:type="spellStart"/>
      <w:r>
        <w:rPr>
          <w:color w:val="000000"/>
          <w:u w:color="000000"/>
        </w:rPr>
        <w:t>Radziądz</w:t>
      </w:r>
      <w:proofErr w:type="spellEnd"/>
      <w:r>
        <w:rPr>
          <w:color w:val="000000"/>
          <w:u w:color="000000"/>
        </w:rPr>
        <w:t>” (GZ 4694),</w:t>
      </w:r>
    </w:p>
    <w:p w14:paraId="78655A84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granica obszaru i terenu górniczego „</w:t>
      </w:r>
      <w:proofErr w:type="spellStart"/>
      <w:r>
        <w:rPr>
          <w:color w:val="000000"/>
          <w:u w:color="000000"/>
        </w:rPr>
        <w:t>Radziądz</w:t>
      </w:r>
      <w:proofErr w:type="spellEnd"/>
      <w:r>
        <w:rPr>
          <w:color w:val="000000"/>
          <w:u w:color="000000"/>
        </w:rPr>
        <w:t xml:space="preserve"> I”,</w:t>
      </w:r>
    </w:p>
    <w:p w14:paraId="634E640D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strefa „B” ochrony konserwatorskiej,</w:t>
      </w:r>
    </w:p>
    <w:p w14:paraId="5161285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strefa „K” ochrony konserwatorskiej,</w:t>
      </w:r>
    </w:p>
    <w:p w14:paraId="1755F88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strefa „OW” ochrony konserwatorskiej,</w:t>
      </w:r>
    </w:p>
    <w:p w14:paraId="582C729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obiekt ujęty w gminnej ewidencji zabytków,</w:t>
      </w:r>
    </w:p>
    <w:p w14:paraId="3C33F38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n) </w:t>
      </w:r>
      <w:r>
        <w:rPr>
          <w:color w:val="000000"/>
          <w:u w:color="000000"/>
        </w:rPr>
        <w:t>pas technologiczny napowietrznej linii elektroenergetycznej niskiego napięcia,</w:t>
      </w:r>
    </w:p>
    <w:p w14:paraId="301152A3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pas technologiczny napowietrznej linii elektroenergetycznej średniego napięcia;</w:t>
      </w:r>
    </w:p>
    <w:p w14:paraId="239C0897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ustalenia nieoznaczone na części graficznej planu miejscowego, obejmujące cały obszar objęty planem miejscowym:</w:t>
      </w:r>
    </w:p>
    <w:p w14:paraId="3402465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Głównego Zbiornika Wód Podziemnych nr 303 Pradolina Barycz – Głogów (E),</w:t>
      </w:r>
    </w:p>
    <w:p w14:paraId="56528938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granica Parku Krajobrazowego „Dolina Baryczy”,</w:t>
      </w:r>
    </w:p>
    <w:p w14:paraId="376719F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granica Obszaru Specjalnej Ochrony Siedlisk Natura 2000 „Dolina Baryczy” PLB020001,</w:t>
      </w:r>
    </w:p>
    <w:p w14:paraId="095BCC6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granica Specjalnego Obszaru Ochrony Siedlisk Natura 2000 „Ostoja nad Baryczą” PLH020041.</w:t>
      </w:r>
    </w:p>
    <w:p w14:paraId="21BE7E8A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miejscowego, w tym zlokalizowane poza granicą obszaru objętego planem miejscowym, są oznaczeniami informacyjnymi, niestanowiącymi ustaleń planu miejscowego.</w:t>
      </w:r>
    </w:p>
    <w:p w14:paraId="24094129" w14:textId="77777777" w:rsidR="00A77B3E" w:rsidRDefault="00306A09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1215913F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6071DF13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0B87B6CB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707C49E2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MN-UT, UT, RZM </w:t>
      </w:r>
      <w:r>
        <w:rPr>
          <w:color w:val="000000"/>
          <w:u w:color="000000"/>
        </w:rPr>
        <w:t>dopuszcza się:</w:t>
      </w:r>
    </w:p>
    <w:p w14:paraId="6B2B4F8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</w:t>
      </w:r>
      <w:r>
        <w:rPr>
          <w:color w:val="000000"/>
          <w:u w:color="000000"/>
        </w:rPr>
        <w:t>urządzenia infrastruktury technicznej,</w:t>
      </w:r>
    </w:p>
    <w:p w14:paraId="77969B39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67CDC7ED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5C7BB06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102C43E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0D36BE62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>KDZ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08325C91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0F15EB8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przydrożną;</w:t>
      </w:r>
    </w:p>
    <w:p w14:paraId="56F9BDD6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45F49721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356A567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3E14472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2AFA3168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 zakresie geometrii dachu: dopuszcza się odstępstwo od parametrów ustalonych w przepisach szczegółowych poprzez zastosowanie dowolnych parametrów na powierzchni nie większej niż 10 % całego dachu w strefach „B” oraz „K” ochrony konserwatorskiej i nie większej niż 30 % całego dachu poza strefami ochrony konserwatorskiej.</w:t>
      </w:r>
    </w:p>
    <w:p w14:paraId="5B4629E3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2DC1D1C4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7F99200B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306F5004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 inwestycji z zakresu infrastruktury technicznej,</w:t>
      </w:r>
    </w:p>
    <w:p w14:paraId="395D7368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5121415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</w:t>
      </w:r>
      <w:r>
        <w:rPr>
          <w:color w:val="000000"/>
          <w:u w:color="000000"/>
        </w:rPr>
        <w:t>części graficznej planu miejscowego symbolami MN-UT – jak dla terenów mieszkaniowo-usługowych,</w:t>
      </w:r>
    </w:p>
    <w:p w14:paraId="03D450F2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0331F915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ochrony przyrody i krajobrazu oraz zasad kształtowania krajobrazu, ustala się:</w:t>
      </w:r>
    </w:p>
    <w:p w14:paraId="2F2D51B4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 objęty planem miejscowym, w całości położony jest w granicach Parku Krajobrazowego „Dolina Baryczy”, dla którego należy zachować zasady określone w przepisach odrębnych,</w:t>
      </w:r>
    </w:p>
    <w:p w14:paraId="78A42D4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 objęty planem miejscowym, w całości położony jest w granicach Obszaru Specjalnej Ochrony Siedlisk Natura 2000 „Dolina Baryczy” PLB020001, dla którego należy zachować zasady określone w przepisach odrębnych,</w:t>
      </w:r>
    </w:p>
    <w:p w14:paraId="4D69C0D4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obszar objęty planem miejscowym, w całości położny jest w granicach Specjalnego Obszaru Ochrony Siedlisk Natura 2000 „Ostoja nad Baryczą” PLH020041, dla którego należy zachować zasady określone w przepisach odrębnych.</w:t>
      </w:r>
    </w:p>
    <w:p w14:paraId="6D175C28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34374DE3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48B3D1E9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</w:t>
      </w:r>
      <w:r>
        <w:rPr>
          <w:color w:val="000000"/>
          <w:u w:color="000000"/>
        </w:rPr>
        <w:t>której obowiązują następujące wymogi:</w:t>
      </w:r>
    </w:p>
    <w:p w14:paraId="3588A652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566166FD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71B8D18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5A4AE4CF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blachy trapezowej),</w:t>
      </w:r>
    </w:p>
    <w:p w14:paraId="0638BF08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4A05439D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46FFB03B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5A18AB3D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7F6E1AE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3E0ADE4B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wolnostojących silosów, dopuszcza się silosy obudowane</w:t>
      </w:r>
      <w:r>
        <w:rPr>
          <w:color w:val="000000"/>
          <w:u w:color="000000"/>
        </w:rPr>
        <w:br/>
        <w:t>w budynkach,</w:t>
      </w:r>
    </w:p>
    <w:p w14:paraId="41FEBD1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Ruda Żmigrodzka, ujętym w gminnej ewidencji zabytków, w której obowiązują następujące wymogi:</w:t>
      </w:r>
    </w:p>
    <w:p w14:paraId="64A8C6AA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użytych tradycyjnych materiałów budowlanych, starannie wpisując się w krajobraz kulturowy,</w:t>
      </w:r>
    </w:p>
    <w:p w14:paraId="39DA412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05021D09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3D2087A9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24012A6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5BC35F65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występuje obiekt ujęty w gminnej ewidencji zabytków:</w:t>
      </w:r>
    </w:p>
    <w:p w14:paraId="712F7A35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kaplica, mieszkanie (d. szkoła), ok. 1920 r., ul. Zięby 2 (daw. Ruda Żmigrodzka 16);</w:t>
      </w:r>
    </w:p>
    <w:p w14:paraId="45703F43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wymienionym zabytkowym obiekcie obowiązują następujące wymogi:</w:t>
      </w:r>
    </w:p>
    <w:p w14:paraId="7E37B87D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3AAD9ABB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</w:t>
      </w:r>
      <w:r>
        <w:rPr>
          <w:color w:val="000000"/>
          <w:u w:color="000000"/>
        </w:rPr>
        <w:t>w zniszczonych fragmentach odtworzyć historyczny detal architektoniczny,</w:t>
      </w:r>
    </w:p>
    <w:p w14:paraId="3115D392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2D626780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33295CB6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 i zachowane elementy wystroju i wyposażenia,</w:t>
      </w:r>
    </w:p>
    <w:p w14:paraId="54D68955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455F6C34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 projektowane instalacji technicznych projektować i montować z zachowaniem wartości zabytkowych obiektów,</w:t>
      </w:r>
    </w:p>
    <w:p w14:paraId="78C6D71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7F356849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3EEEB2E1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granice i sposoby zagospodarowania terenów lub obiektów podlegających ochronie na podstawie odrębnych przepisów:</w:t>
      </w:r>
    </w:p>
    <w:p w14:paraId="66512D0A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obszar objęty planem miejscowym w całości położony jest w granicach Głównego Zbiornika Wód Podziemnych nr 303 Pradolina Barycz-Głogów (E), na którym należy zachować zasady określone w przepisach odrębnych;</w:t>
      </w:r>
    </w:p>
    <w:p w14:paraId="5339C787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część obszaru objętego planem miejscowym, w zakresie wskazanym w części graficznej planu, położona jest w granicach obszarów szczególnego zagrożenia powodzią:</w:t>
      </w:r>
    </w:p>
    <w:p w14:paraId="6AA85949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obszaru na którym prawdopodobieństwo wystąpienia powodzi jest średnie i wynosi 1%</w:t>
      </w:r>
    </w:p>
    <w:p w14:paraId="57763E27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obszaru, na którym prawdopodobieństwo wystąpienia powodzi jest wysokie i wynosi 10%,</w:t>
      </w:r>
    </w:p>
    <w:p w14:paraId="6E3B48F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przy lokalizacji obiektów budowlanych w granicach obszarów szczególnego zagrożenia powodzią wymienionych w lit. a i b obowiązują zasady określone w </w:t>
      </w:r>
      <w:r>
        <w:rPr>
          <w:color w:val="000000"/>
          <w:u w:color="000000"/>
        </w:rPr>
        <w:t>przepisach odrębnych oraz następujące ustalenia:</w:t>
      </w:r>
    </w:p>
    <w:p w14:paraId="736A192B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 realizacji kondygnacji podziemnych,</w:t>
      </w:r>
    </w:p>
    <w:p w14:paraId="48547BBC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wymóg wyniesienia poziomu posadzki parteru budynków powyżej poziomu wód powodziowych,</w:t>
      </w:r>
    </w:p>
    <w:p w14:paraId="6C1BB189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stosowania odpowiednich technologii i materiałów wodoodpornych,</w:t>
      </w:r>
    </w:p>
    <w:p w14:paraId="7D76D797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zabezpieczenia wszelkich instalacji i przyłączy przed uszkodzeniem w czasie zalania.</w:t>
      </w:r>
    </w:p>
    <w:p w14:paraId="5339C1C0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część obszaru objętego planem miejscowym, w zakresie wskazanym w części graficznej planu, znajduje się</w:t>
      </w:r>
      <w:r>
        <w:rPr>
          <w:color w:val="000000"/>
          <w:u w:color="000000"/>
        </w:rPr>
        <w:br/>
        <w:t>w granicy obszaru i terenu górniczego „</w:t>
      </w:r>
      <w:proofErr w:type="spellStart"/>
      <w:r>
        <w:rPr>
          <w:color w:val="000000"/>
          <w:u w:color="000000"/>
        </w:rPr>
        <w:t>Radziądz</w:t>
      </w:r>
      <w:proofErr w:type="spellEnd"/>
      <w:r>
        <w:rPr>
          <w:color w:val="000000"/>
          <w:u w:color="000000"/>
        </w:rPr>
        <w:t xml:space="preserve"> I” dla których należy zachować zasady określone w przepisach odrębnych;</w:t>
      </w:r>
    </w:p>
    <w:p w14:paraId="69CAD35D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 obszarze objętym planem, na części oznaczonej w części graficznej planu, występuje udokumentowane złoże gazu ziemnego „</w:t>
      </w:r>
      <w:proofErr w:type="spellStart"/>
      <w:r>
        <w:rPr>
          <w:color w:val="000000"/>
          <w:u w:color="000000"/>
        </w:rPr>
        <w:t>Radziądz</w:t>
      </w:r>
      <w:proofErr w:type="spellEnd"/>
      <w:r>
        <w:rPr>
          <w:color w:val="000000"/>
          <w:u w:color="000000"/>
        </w:rPr>
        <w:t>” (GZ 4694)  podlegające ochronie na  podstawie  przepisów odrębnych.</w:t>
      </w:r>
    </w:p>
    <w:p w14:paraId="251B9737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2E84D932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 osuwania się mas ziemnych, z uwagi na brak takich obszarów;</w:t>
      </w:r>
    </w:p>
    <w:p w14:paraId="398D2031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</w:t>
      </w:r>
      <w:r>
        <w:rPr>
          <w:color w:val="000000"/>
          <w:u w:color="000000"/>
        </w:rPr>
        <w:t>sposobów zagospodarowania krajobrazów priorytetowych określonych w audycie krajobrazowym oraz w planach zagospodarowania przestrzennego województwa, z uwagi na brak krajobrazów priorytetowych;</w:t>
      </w:r>
    </w:p>
    <w:p w14:paraId="7618C726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2F9CE45B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30F15219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MN-UT, UT:</w:t>
      </w:r>
    </w:p>
    <w:p w14:paraId="34E75729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2A077DB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7C6E835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36B15A60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4CE4F083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05EBB10D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 m,</w:t>
      </w:r>
    </w:p>
    <w:p w14:paraId="3DF402E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 </w:t>
      </w:r>
    </w:p>
    <w:p w14:paraId="5521620A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7CBB03F4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2D939E2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13280BF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</w:t>
      </w:r>
    </w:p>
    <w:p w14:paraId="02603151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3F50AC72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14F457D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7CDB06C8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79A01685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0D8CF3DD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73742F63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4B4ADB74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11D1DFF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</w:t>
      </w:r>
      <w:r>
        <w:rPr>
          <w:color w:val="000000"/>
          <w:u w:color="000000"/>
        </w:rPr>
        <w:t>sieci elektroenergetycznej, na zasadach określonych w przepisach odrębnych,</w:t>
      </w:r>
    </w:p>
    <w:p w14:paraId="3B89ACA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odnawialnych źródeł energii, na zasadach określonych w przepisach odrębnych,</w:t>
      </w:r>
    </w:p>
    <w:p w14:paraId="2BB10C5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42330347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3A1191E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4F18612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7554F601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576E6B77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421D8BA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02841E5A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gospodarowania odpadami ustala się: gospodarowanie odpadami na zasadach określonych w przepisach odrębnych;</w:t>
      </w:r>
    </w:p>
    <w:p w14:paraId="218D2682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3F0B0B77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Ustalenia określone w § 10 pkt 1–6 mogą występować pojedynczo lub łącznie;</w:t>
      </w:r>
    </w:p>
    <w:p w14:paraId="25C3B497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liczby miejsc do parkowania ustala się następujące zasady:</w:t>
      </w:r>
    </w:p>
    <w:p w14:paraId="5FF3CEF5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 oraz zabudowy zagrodowej obowiązują minimalnie 2 miejsca do parkowania na 1 lokal mieszkalny,</w:t>
      </w:r>
    </w:p>
    <w:p w14:paraId="27577F7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 oraz usług turystyki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</w:t>
      </w:r>
    </w:p>
    <w:p w14:paraId="62C2F397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6C07DA7E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04561088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74C4F583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430BA710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3114F00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0B49D108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29E4DD2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4C03D776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4A6DA49B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6B50A6D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obsługę komunikacyjną:</w:t>
      </w:r>
    </w:p>
    <w:p w14:paraId="101EADAE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zbiorczej oznaczonej w części graficznej planu miejscowego symbolem 1KDZ,</w:t>
      </w:r>
    </w:p>
    <w:p w14:paraId="03F998A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dojazdowej oznaczonej w </w:t>
      </w:r>
      <w:r>
        <w:rPr>
          <w:color w:val="000000"/>
          <w:u w:color="000000"/>
        </w:rPr>
        <w:t>części graficznej planu miejscowego symbolem 1KDD,</w:t>
      </w:r>
    </w:p>
    <w:p w14:paraId="1961C0C5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 1KR–3KR,</w:t>
      </w:r>
    </w:p>
    <w:p w14:paraId="562CFC57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m,</w:t>
      </w:r>
    </w:p>
    <w:p w14:paraId="16D966FB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2D5068B4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00CD79BE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65C411E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2DF01813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6ED85C94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zgodnie z przepisami odrębnymi;</w:t>
      </w:r>
    </w:p>
    <w:p w14:paraId="7D648522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obowiązują.</w:t>
      </w:r>
    </w:p>
    <w:p w14:paraId="145474CC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granicach planu za przestrzeń publiczną uznaje się tereny oznaczone w części graficznej planu miejscowego symbolami KDZ oraz KDD, dla których obowiązują zasady ustalone w §4 pkt 4) oraz ustaleniach szczegółowych.</w:t>
      </w:r>
    </w:p>
    <w:p w14:paraId="07116AF0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42402ED6" w14:textId="77777777" w:rsidR="00A77B3E" w:rsidRDefault="00306A09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3351A3AE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 turystyki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1MN-UT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10MN-UT</w:t>
      </w:r>
      <w:r>
        <w:rPr>
          <w:color w:val="000000"/>
          <w:u w:color="000000"/>
        </w:rPr>
        <w:t>, ustala się:</w:t>
      </w:r>
    </w:p>
    <w:p w14:paraId="5E011F2E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6C1600C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23299131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turystyki</w:t>
      </w:r>
      <w:r>
        <w:rPr>
          <w:color w:val="000000"/>
          <w:u w:color="000000"/>
        </w:rPr>
        <w:t>;</w:t>
      </w:r>
    </w:p>
    <w:p w14:paraId="0CB3BAAD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4;</w:t>
      </w:r>
    </w:p>
    <w:p w14:paraId="660D4953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26C2E41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1DB6537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76AD3D78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6F1C0FBD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2294BC4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F07919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minimalny: 0.0,</w:t>
      </w:r>
    </w:p>
    <w:p w14:paraId="2068FE43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76EF10D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4C666418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0F1AD1F3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12F519F7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5FF1E588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5DFF7336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2BF3D288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43E0852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1761B3B1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1A374473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5549BDA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08FC98C4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5D7D516C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2BA97B3F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1FE9DFA7" w14:textId="77777777" w:rsidR="00A77B3E" w:rsidRDefault="00306A09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6A35D33F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DF5FFF7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516965AB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36E4123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7C5CAC2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0A0055A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49E2FE6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244760C2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6157BF0D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obiektu ujętego w gminnej ewidencji zabytków obowiązują ustalenia §6 pkt 1) lit. c).</w:t>
      </w:r>
    </w:p>
    <w:p w14:paraId="7E4947FC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turystyki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1UT</w:t>
      </w:r>
      <w:r>
        <w:rPr>
          <w:color w:val="000000"/>
          <w:u w:color="000000"/>
        </w:rPr>
        <w:t>, ustala się:</w:t>
      </w:r>
    </w:p>
    <w:p w14:paraId="5C5B8ED3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turystyki</w:t>
      </w:r>
      <w:r>
        <w:rPr>
          <w:color w:val="000000"/>
          <w:u w:color="000000"/>
        </w:rPr>
        <w:t>;</w:t>
      </w:r>
    </w:p>
    <w:p w14:paraId="3F830D4B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 xml:space="preserve"> z zastrzeżeniem pkt 3 i 4;</w:t>
      </w:r>
    </w:p>
    <w:p w14:paraId="21A1CB84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 teren usług handlu wielkopowierzchniowego;</w:t>
      </w:r>
    </w:p>
    <w:p w14:paraId="5709558D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1C23F0D2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29DA5FA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994B927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minimalny: 0.0,</w:t>
      </w:r>
    </w:p>
    <w:p w14:paraId="198FD015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3D2E70F9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39B0D4E7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0.4,</w:t>
      </w:r>
    </w:p>
    <w:p w14:paraId="4FE47098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09C0466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305A507D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13CE882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54B0C19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</w:t>
      </w:r>
      <w:r>
        <w:rPr>
          <w:color w:val="000000"/>
          <w:u w:color="000000"/>
        </w:rPr>
        <w:t>kolorach pastelowych zgaszonych w odcieniach bieli, beżu lub szarości,</w:t>
      </w:r>
    </w:p>
    <w:p w14:paraId="5B1C0E8C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E66E740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CC26CA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9CEF372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10).</w:t>
      </w:r>
    </w:p>
    <w:p w14:paraId="535E3FC5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zbiorczej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1KDZ,  </w:t>
      </w:r>
      <w:r>
        <w:rPr>
          <w:color w:val="000000"/>
          <w:u w:color="000000"/>
        </w:rPr>
        <w:t>ustala się:</w:t>
      </w:r>
    </w:p>
    <w:p w14:paraId="61C13CDC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zbiorczej</w:t>
      </w:r>
      <w:r>
        <w:rPr>
          <w:color w:val="000000"/>
          <w:u w:color="000000"/>
        </w:rPr>
        <w:t>;</w:t>
      </w:r>
    </w:p>
    <w:p w14:paraId="4D48AB06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77D5DC9E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dojazdowej</w:t>
      </w:r>
      <w:r>
        <w:rPr>
          <w:color w:val="000000"/>
          <w:u w:color="000000"/>
        </w:rPr>
        <w:t>, oznaczonego w części graficznej planu miejscowego symbolem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1KDD, </w:t>
      </w:r>
      <w:r>
        <w:rPr>
          <w:color w:val="000000"/>
          <w:u w:color="000000"/>
        </w:rPr>
        <w:t>ustala się:</w:t>
      </w:r>
    </w:p>
    <w:p w14:paraId="627D98A0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</w:t>
      </w:r>
      <w:r>
        <w:rPr>
          <w:color w:val="000000"/>
          <w:u w:color="000000"/>
        </w:rPr>
        <w:t>;</w:t>
      </w:r>
    </w:p>
    <w:p w14:paraId="07551C74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673137F3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3KR</w:t>
      </w:r>
      <w:r>
        <w:rPr>
          <w:color w:val="000000"/>
          <w:u w:color="000000"/>
        </w:rPr>
        <w:t xml:space="preserve"> ustala się:</w:t>
      </w:r>
    </w:p>
    <w:p w14:paraId="663C4CC0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32595C09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92C8988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2RZM,</w:t>
      </w:r>
      <w:r>
        <w:rPr>
          <w:color w:val="000000"/>
          <w:u w:color="000000"/>
        </w:rPr>
        <w:t xml:space="preserve"> ustala się:</w:t>
      </w:r>
    </w:p>
    <w:p w14:paraId="2CA4EC17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4E020559" w14:textId="77777777" w:rsidR="00A77B3E" w:rsidRDefault="00306A0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E93FCC0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E542E49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E808CE0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74A9257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181054DA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4593EF42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574E9C6E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7DD3FF8C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</w:t>
      </w:r>
    </w:p>
    <w:p w14:paraId="48FFAB06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1350E71D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tynk w </w:t>
      </w:r>
      <w:r>
        <w:rPr>
          <w:color w:val="000000"/>
          <w:u w:color="000000"/>
        </w:rPr>
        <w:t>kolorach pastelowych zgaszonych w odcieniach bieli, beżu lub szarości,</w:t>
      </w:r>
    </w:p>
    <w:p w14:paraId="21BF0686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386A04FE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564E5498" w14:textId="77777777" w:rsidR="00A77B3E" w:rsidRDefault="00306A09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61040A2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088C5288" w14:textId="77777777" w:rsidR="00A77B3E" w:rsidRDefault="00306A09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 pkt 1) lit. a).</w:t>
      </w:r>
    </w:p>
    <w:p w14:paraId="0A46F06B" w14:textId="77777777" w:rsidR="00A77B3E" w:rsidRDefault="00306A09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5E81F782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Burmistrzowi Gminy Żmigród.</w:t>
      </w:r>
    </w:p>
    <w:p w14:paraId="3B0130BC" w14:textId="77777777" w:rsidR="00A77B3E" w:rsidRDefault="00306A0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E41B6" w14:textId="77777777" w:rsidR="00306A09" w:rsidRDefault="00306A09">
      <w:r>
        <w:separator/>
      </w:r>
    </w:p>
  </w:endnote>
  <w:endnote w:type="continuationSeparator" w:id="0">
    <w:p w14:paraId="73BAD29B" w14:textId="77777777" w:rsidR="00306A09" w:rsidRDefault="0030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909C3" w14:paraId="50FCE07A" w14:textId="77777777" w:rsidTr="00895C5E">
      <w:trPr>
        <w:trHeight w:val="32"/>
      </w:trPr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F44DE65" w14:textId="2FC200EA" w:rsidR="00A909C3" w:rsidRDefault="00895C5E">
          <w:pPr>
            <w:jc w:val="left"/>
            <w:rPr>
              <w:sz w:val="18"/>
            </w:rPr>
          </w:pPr>
          <w:r>
            <w:rPr>
              <w:sz w:val="18"/>
              <w:lang w:val="en-US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14974B" w14:textId="77777777" w:rsidR="00A909C3" w:rsidRDefault="00306A0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95C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3C860F" w14:textId="77777777" w:rsidR="00A909C3" w:rsidRDefault="00A909C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A43F3" w14:textId="77777777" w:rsidR="00306A09" w:rsidRDefault="00306A09">
      <w:r>
        <w:separator/>
      </w:r>
    </w:p>
  </w:footnote>
  <w:footnote w:type="continuationSeparator" w:id="0">
    <w:p w14:paraId="40373F20" w14:textId="77777777" w:rsidR="00306A09" w:rsidRDefault="00306A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06A09"/>
    <w:rsid w:val="00360709"/>
    <w:rsid w:val="0075457F"/>
    <w:rsid w:val="00895C5E"/>
    <w:rsid w:val="00A77B3E"/>
    <w:rsid w:val="00A909C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7B03B"/>
  <w15:docId w15:val="{F1E85BE0-C177-4398-AD86-7527B7DA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95C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95C5E"/>
    <w:rPr>
      <w:sz w:val="22"/>
      <w:szCs w:val="24"/>
    </w:rPr>
  </w:style>
  <w:style w:type="paragraph" w:styleId="Stopka">
    <w:name w:val="footer"/>
    <w:basedOn w:val="Normalny"/>
    <w:link w:val="StopkaZnak"/>
    <w:rsid w:val="00895C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95C5E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4182</Words>
  <Characters>25095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29219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Ruda Żmigrodzka</dc:subject>
  <dc:creator>graba</dc:creator>
  <cp:lastModifiedBy>Patrycja Graba</cp:lastModifiedBy>
  <cp:revision>3</cp:revision>
  <cp:lastPrinted>2026-03-16T14:27:00Z</cp:lastPrinted>
  <dcterms:created xsi:type="dcterms:W3CDTF">2026-03-16T15:26:00Z</dcterms:created>
  <dcterms:modified xsi:type="dcterms:W3CDTF">2026-03-16T14:28:00Z</dcterms:modified>
  <cp:category>Akt prawny</cp:category>
</cp:coreProperties>
</file>