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19815" w14:textId="77777777" w:rsidR="00A77B3E" w:rsidRDefault="00A77B3E" w:rsidP="001539DC">
      <w:pPr>
        <w:jc w:val="left"/>
        <w:rPr>
          <w:sz w:val="20"/>
        </w:rPr>
      </w:pPr>
    </w:p>
    <w:p w14:paraId="46245092" w14:textId="77777777" w:rsidR="00A77B3E" w:rsidRDefault="001A2507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ŻMIGRODZIE</w:t>
      </w:r>
    </w:p>
    <w:p w14:paraId="7A33BCF0" w14:textId="77777777" w:rsidR="00A77B3E" w:rsidRDefault="001A2507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14:paraId="2DE44377" w14:textId="77777777" w:rsidR="00A77B3E" w:rsidRDefault="001A2507">
      <w:pPr>
        <w:keepNext/>
        <w:spacing w:after="480"/>
        <w:jc w:val="center"/>
      </w:pPr>
      <w:r>
        <w:rPr>
          <w:b/>
        </w:rPr>
        <w:t>w sprawie uchwalenia miejscowego planu zagospodarowania przestrzennego</w:t>
      </w:r>
      <w:r>
        <w:rPr>
          <w:b/>
        </w:rPr>
        <w:br/>
        <w:t>dla części obrębu Żmigródek</w:t>
      </w:r>
    </w:p>
    <w:p w14:paraId="28FD04DF" w14:textId="77777777" w:rsidR="00A77B3E" w:rsidRDefault="001A2507">
      <w:pPr>
        <w:keepLines/>
        <w:spacing w:before="120" w:after="120"/>
        <w:ind w:firstLine="227"/>
      </w:pPr>
      <w:r>
        <w:t>Na podstawie art. 18 ust. 2 pkt 5 ustawy z dnia 8 marca 1990 r. o samorządzie gminnym (Dz. U. z 2025 r. poz. 1153) i art. 20 ust. 1 ustawy z dnia 27 marca 2003 r. o planowaniu i zagospodarowaniu przestrzennym (</w:t>
      </w:r>
      <w:proofErr w:type="spellStart"/>
      <w:r>
        <w:t>t.j</w:t>
      </w:r>
      <w:proofErr w:type="spellEnd"/>
      <w:r>
        <w:t>. Dz. U. z 2024 r. poz. 1130 ze zm.) w związku z art. 67 ust. 3 pkt. 2 ustawy z dnia 7 lipca 2023 r. o zmianie ustawy o planowaniu i zagospodarowaniu przestrzennym oraz niektórych innych ustaw (Dz. U. z 2023 r. poz. 1688) oraz w związku z Uchwałą Nr 0007.XI.102.2025 Rady Miejskiej w Żmigrodzie z dnia 29 stycznia 2025 r. w sprawie przystąpienia do sporządzenia miejscowego planu zagospodarowania przestrzennego dla części obrębu Żmigródek, po stwierdzeniu, że plan nie narusza Studium uwarunkowań i kierunków</w:t>
      </w:r>
      <w:r>
        <w:t xml:space="preserve"> zagospodarowania przestrzennego gminy Żmigród uchwalonego Uchwałą Nr 0007.XVI.156.2025 Rady Miejskiej w Żmigrodzie z dnia 25 września 2025 r., Rada Miejska w Żmigrodzie uchwala co następuje:</w:t>
      </w:r>
    </w:p>
    <w:p w14:paraId="0DB0B449" w14:textId="77777777" w:rsidR="00A77B3E" w:rsidRDefault="001A2507">
      <w:pPr>
        <w:keepNext/>
        <w:keepLines/>
        <w:jc w:val="center"/>
      </w:pPr>
      <w:r>
        <w:rPr>
          <w:b/>
        </w:rPr>
        <w:t>Rozdział 1.</w:t>
      </w:r>
      <w:r>
        <w:br/>
      </w:r>
      <w:r>
        <w:rPr>
          <w:b/>
        </w:rPr>
        <w:t>Przepisy wstępne</w:t>
      </w:r>
    </w:p>
    <w:p w14:paraId="4F00FCC1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Uchwala się miejscowy plan zagospodarowania przestrzennego dla części obrębu Żmigródek, obejmujący obszar zawarty w granicach określonych w </w:t>
      </w:r>
      <w:r>
        <w:t>części graficznej planu miejscowego stanowiącej załącznik nr 1 do uchwały.</w:t>
      </w:r>
    </w:p>
    <w:p w14:paraId="73ED66B4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Załącznikami do niniejszej uchwały są:</w:t>
      </w:r>
    </w:p>
    <w:p w14:paraId="758A0B7C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załącznik nr 1 – część graficzna planu miejscowego;</w:t>
      </w:r>
    </w:p>
    <w:p w14:paraId="4BE79D3D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załącznik nr 2 – rozstrzygnięcie o sposobie realizacji, zapisanych w miejscowym planie, inwestycji z zakresu infrastruktury technicznej, które należą do zadań własnych gminy, oraz zasadach ich finansowania, zgodnie z przepisami o finansach publicznych;</w:t>
      </w:r>
    </w:p>
    <w:p w14:paraId="0F881D7B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załącznik nr 3 – dane przestrzenne.</w:t>
      </w:r>
    </w:p>
    <w:p w14:paraId="73DFB5DF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Ilekroć w niniejszej uchwale jest mowa o:</w:t>
      </w:r>
    </w:p>
    <w:p w14:paraId="68512312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>terenie</w:t>
      </w:r>
      <w:r>
        <w:rPr>
          <w:color w:val="000000"/>
          <w:u w:color="000000"/>
        </w:rPr>
        <w:t xml:space="preserve"> – należy przez to rozumieć teren wyznaczony na części graficznej planu miejscowego liniami rozgraniczającymi, oznaczony numerem i symbolem klasy przeznaczenia terenu;</w:t>
      </w:r>
    </w:p>
    <w:p w14:paraId="0BBB5B82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przeznaczeniu </w:t>
      </w:r>
      <w:r>
        <w:rPr>
          <w:color w:val="000000"/>
          <w:u w:color="000000"/>
        </w:rPr>
        <w:t>– należy przez to rozumieć klasy przeznaczenia terenu, które przeważają na danym terenie wydzielonym w planie liniami rozgraniczającymi; w przypadku ustalenia więcej niż jednej klasy przeznaczenia, wszystkie wymienione klasy mogą wystąpić łącznie lub odrębnie w granicach poszczególnych działek budowlanych położonych w granicach terenu;</w:t>
      </w:r>
    </w:p>
    <w:p w14:paraId="2DB24845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b/>
          <w:color w:val="000000"/>
          <w:u w:color="000000"/>
        </w:rPr>
        <w:t>przeznaczeniu uzupełniającym</w:t>
      </w:r>
      <w:r>
        <w:rPr>
          <w:color w:val="000000"/>
          <w:u w:color="000000"/>
        </w:rPr>
        <w:t xml:space="preserve"> – należy przez to rozumieć klasy przeznaczenia terenu, które uzupełniają lub wzbogacają przeznaczenie, w sposób określony zgodnie z przepisami szczegółowymi; </w:t>
      </w:r>
    </w:p>
    <w:p w14:paraId="2B8B41D4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przeznaczeniu wykluczanym</w:t>
      </w:r>
      <w:r>
        <w:rPr>
          <w:color w:val="000000"/>
          <w:u w:color="000000"/>
        </w:rPr>
        <w:t xml:space="preserve"> – należy przez to rozumieć klasy przeznaczenia terenu, które nie mogą wystąpić na danym terenie wydzielonym w planie liniami rozgraniczającymi; </w:t>
      </w:r>
    </w:p>
    <w:p w14:paraId="186935CA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>obowiązującej linii zabudowy</w:t>
      </w:r>
      <w:r>
        <w:rPr>
          <w:color w:val="000000"/>
          <w:u w:color="000000"/>
        </w:rPr>
        <w:t xml:space="preserve"> – należy przez to rozumieć określoną w części graficznej planu miejscowego linię, względem której należy lokalizować budynki, przy czym:</w:t>
      </w:r>
    </w:p>
    <w:p w14:paraId="17413CB5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sytuowane główną kalenicą równolegle w stosunku do obowiązującej linii zabudowy należy lokalizować w taki sposób, aby elewacja frontowa była położona na obowiązującej linii zabudowy na odcinku co najmniej 70% długości tej elewacji;</w:t>
      </w:r>
    </w:p>
    <w:p w14:paraId="3CC2B9AE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budynki sytuowane główną kalenicą nierównolegle, z dopuszczalnym odchyleniem w zakresie od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110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w stosunku do obowiązującej linii zabudowy, należy lokalizować w taki sposób, aby najbardziej wysunięty narożnik budynku był styczny do obowiązującej linii zabudowy,</w:t>
      </w:r>
    </w:p>
    <w:p w14:paraId="155A1E75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zasadzie tej nie podlegają:</w:t>
      </w:r>
    </w:p>
    <w:p w14:paraId="3D4F249A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nowe budynki, które lokalizowane będą w odległości większej niż 20 </w:t>
      </w:r>
      <w:r>
        <w:rPr>
          <w:color w:val="000000"/>
          <w:u w:color="000000"/>
        </w:rPr>
        <w:t>m od obowiązującej linii zabudowy określonej w części graficznej planu miejscowego,</w:t>
      </w:r>
    </w:p>
    <w:p w14:paraId="203C0755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budynki infrastruktury technicznej,</w:t>
      </w:r>
    </w:p>
    <w:p w14:paraId="39F2041F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nieprzekraczalnej linii zabudowy o więcej niż 2 m na szerokości nie więcej niż 30% szerokości elewacji frontowej budynku,</w:t>
      </w:r>
    </w:p>
    <w:p w14:paraId="1494F49A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31787B88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podziemne części budynków,</w:t>
      </w:r>
    </w:p>
    <w:p w14:paraId="7627E419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budynki istniejące przed dniem wejścia w życie niniejszej uchwały, w przypadku ich odbudowy, dla których dopuszcza się zachowanie linii zabudowy wynikającej z ich obrysu;</w:t>
      </w:r>
    </w:p>
    <w:p w14:paraId="73668F29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>nieprzekraczalnej linii zabudowy</w:t>
      </w:r>
      <w:r>
        <w:rPr>
          <w:color w:val="000000"/>
          <w:u w:color="000000"/>
        </w:rPr>
        <w:t xml:space="preserve"> – należy przez to rozumieć określoną w części graficznej planu miejscowego linię, ograniczającą obszar, na którym dopuszcza się lokalizowanie budynków, przy czym zasadzie tej nie podlegają:</w:t>
      </w:r>
    </w:p>
    <w:p w14:paraId="408F104E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infrastruktury technicznej,</w:t>
      </w:r>
    </w:p>
    <w:p w14:paraId="4B715647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 budynków takie jak: balkony, tarasy, werandy, ganki, garaże, oranżerie (ogrody zimowe), wykusze, zadaszenia - o ile nie przekroczą obowiązującej linii zabudowy o więcej niż 2 m na szerokości nie więcej niż 30% szerokości elewacji frontowej budynku,</w:t>
      </w:r>
    </w:p>
    <w:p w14:paraId="5607C8BE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części budynków takie jak: okapy, gzymsy, elementy odwodnienia, schody zewnętrzne, elementy służące zapewnieniu dostępności osobom ze szczególnymi potrzebami, ocieplenie - o ile nie przekroczą obowiązującej linii zabudowy o więcej niż 2 m,</w:t>
      </w:r>
    </w:p>
    <w:p w14:paraId="03AD10E5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podziemne części budynków,</w:t>
      </w:r>
    </w:p>
    <w:p w14:paraId="216DDBF0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budynki istniejące przed dniem wejścia w życie niniejszej uchwały, w przypadku ich odbudowy, dla których dopuszcza się zachowanie linii zabudowy wynikającej z ich obrysu;</w:t>
      </w:r>
    </w:p>
    <w:p w14:paraId="0E9B4940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Obowiązującymi ustaleniami planu miejscowego, bądź wynikającymi z przepisów odrębnych są:</w:t>
      </w:r>
    </w:p>
    <w:p w14:paraId="7655E587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ustalenia oznaczone na części graficznej planu miejscowego:</w:t>
      </w:r>
    </w:p>
    <w:p w14:paraId="58535E9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granica obszaru objętego planem miejscowym,</w:t>
      </w:r>
    </w:p>
    <w:p w14:paraId="1161562D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linia rozgraniczająca tereny o różnym przeznaczeniu lub różnych zasadach zagospodarowania,</w:t>
      </w:r>
    </w:p>
    <w:p w14:paraId="5E33A51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nieprzekraczalna linia zabudowy,</w:t>
      </w:r>
    </w:p>
    <w:p w14:paraId="7E51F5D0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obowiązująca linia zabudowy,</w:t>
      </w:r>
    </w:p>
    <w:p w14:paraId="29503A2E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symbole i oznaczenia graficzne wraz z numeracją określające przeznaczenie terenów,</w:t>
      </w:r>
    </w:p>
    <w:p w14:paraId="05D4B5E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granica Obszaru Specjalnej Ochrony Siedlisk Natura 2000 „Dolina Baryczy” PLB020001,</w:t>
      </w:r>
    </w:p>
    <w:p w14:paraId="4C5230E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granica Specjalnego Obszaru Ochrony Siedlisk Natura 2000 „Ostoja nad Baryczą” PLH020041,</w:t>
      </w:r>
    </w:p>
    <w:p w14:paraId="082C2382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obszar szczególnego zagrożenia powodzią, na którym prawdopodobieństwo wystąpienia powodzi jest średnie i wynosi 1%,</w:t>
      </w:r>
    </w:p>
    <w:p w14:paraId="205AEE2C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obszar szczególnego zagrożenia powodzią, na którym prawdopodobieństwo wystąpienia powodzi jest wysokie i wynosi 10%,</w:t>
      </w:r>
    </w:p>
    <w:p w14:paraId="5B6FCD73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strefa „B” ochrony konserwatorskiej,</w:t>
      </w:r>
    </w:p>
    <w:p w14:paraId="6B2988D8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strefa „K” ochrony konserwatorskiej,</w:t>
      </w:r>
    </w:p>
    <w:p w14:paraId="3373BF08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strefa „OW” ochrony konserwatorskiej,</w:t>
      </w:r>
    </w:p>
    <w:p w14:paraId="7A74536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obiekt ujęty w gminnej ewidencji zabytków,</w:t>
      </w:r>
    </w:p>
    <w:p w14:paraId="5BB134F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n) </w:t>
      </w:r>
      <w:r>
        <w:rPr>
          <w:color w:val="000000"/>
          <w:u w:color="000000"/>
        </w:rPr>
        <w:t>stanowisko archeologiczne,</w:t>
      </w:r>
    </w:p>
    <w:p w14:paraId="3848F22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>pas technologiczny napowietrznej linii elektroenergetycznej niskiego napięcia,</w:t>
      </w:r>
    </w:p>
    <w:p w14:paraId="617F35A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p) </w:t>
      </w:r>
      <w:r>
        <w:rPr>
          <w:color w:val="000000"/>
          <w:u w:color="000000"/>
        </w:rPr>
        <w:t>pas technologiczny napowietrznej linii elektroenergetycznej średniego napięcia;</w:t>
      </w:r>
    </w:p>
    <w:p w14:paraId="683B6126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ustalenia nieoznaczone na części graficznej planu miejscowego, obejmujące cały obszar objęty planem miejscowym:</w:t>
      </w:r>
    </w:p>
    <w:p w14:paraId="490AE232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granica Głównego Zbiornika Wód Podziemnych nr 303 Pradolina Barycz – Głogów (E),</w:t>
      </w:r>
    </w:p>
    <w:p w14:paraId="41946783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granica Parku Krajobrazowego „Dolina Baryczy”.</w:t>
      </w:r>
    </w:p>
    <w:p w14:paraId="7553F423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oznaczenia na części graficznej planu miejscowego, w tym zlokalizowane poza granicą obszaru objętego planem miejscowym, są oznaczeniami informacyjnymi, niestanowiącymi ustaleń planu miejscowego.</w:t>
      </w:r>
    </w:p>
    <w:p w14:paraId="30C9E3F8" w14:textId="77777777" w:rsidR="00A77B3E" w:rsidRDefault="001A2507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ogólne</w:t>
      </w:r>
    </w:p>
    <w:p w14:paraId="4C3B614F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i kształtowania ładu przestrzennego oraz zabudowy:</w:t>
      </w:r>
    </w:p>
    <w:p w14:paraId="1D10E0BA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obowiązującej i nieprzekraczalnej linii zabudowy – należy zachować linie zabudowy wyznaczone w części graficznej planu miejscowego;</w:t>
      </w:r>
    </w:p>
    <w:p w14:paraId="2B8A0EEC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wysokości zabudowy – wysokość określona w ustaleniach szczegółowych nie dotyczy inwestycji celu publicznego z zakresu łączności publicznej, dla których obowiązują przepisy odrębne;</w:t>
      </w:r>
    </w:p>
    <w:p w14:paraId="6A6B34EB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na terenach oznaczonych w części graficznej planu miejscowego symbolami </w:t>
      </w:r>
      <w:r>
        <w:rPr>
          <w:b/>
          <w:color w:val="000000"/>
          <w:u w:color="000000"/>
        </w:rPr>
        <w:t xml:space="preserve">MN, MN-U, MW, MW-U ML, U, U-ZP, US, P, RZ, RZM, ZP </w:t>
      </w:r>
      <w:r>
        <w:rPr>
          <w:color w:val="000000"/>
          <w:u w:color="000000"/>
        </w:rPr>
        <w:t>dopuszcza się:</w:t>
      </w:r>
    </w:p>
    <w:p w14:paraId="2DDA1CA0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2388E644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dojazdy i dojścia,</w:t>
      </w:r>
    </w:p>
    <w:p w14:paraId="55F684C3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parkowania,</w:t>
      </w:r>
    </w:p>
    <w:p w14:paraId="6D50004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elementy służące zapewnieniu dostępności osobom ze szczególnymi potrzebami,</w:t>
      </w:r>
    </w:p>
    <w:p w14:paraId="3128BDE0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budynki gospodarcze, garaże, wiaty, altany, oranżerie, miejsca do gromadzenia odpadów oraz inne obiekty pełniące funkcje pomocnicze wobec przeznaczenia terenu;</w:t>
      </w:r>
    </w:p>
    <w:p w14:paraId="030918DD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na terenach oznaczonych w części graficznej planu miejscowego symbolami </w:t>
      </w:r>
      <w:r>
        <w:rPr>
          <w:b/>
          <w:color w:val="000000"/>
          <w:u w:color="000000"/>
        </w:rPr>
        <w:t>KDG</w:t>
      </w:r>
      <w:r>
        <w:rPr>
          <w:color w:val="000000"/>
          <w:u w:color="000000"/>
        </w:rPr>
        <w:t xml:space="preserve">, </w:t>
      </w:r>
      <w:r>
        <w:rPr>
          <w:b/>
          <w:color w:val="000000"/>
          <w:u w:color="000000"/>
        </w:rPr>
        <w:t>KDL</w:t>
      </w:r>
      <w:r>
        <w:rPr>
          <w:color w:val="000000"/>
          <w:u w:color="000000"/>
        </w:rPr>
        <w:t xml:space="preserve">, </w:t>
      </w:r>
      <w:r>
        <w:rPr>
          <w:b/>
          <w:color w:val="000000"/>
          <w:u w:color="000000"/>
        </w:rPr>
        <w:t>KDD</w:t>
      </w:r>
      <w:r>
        <w:rPr>
          <w:color w:val="000000"/>
          <w:u w:color="000000"/>
        </w:rPr>
        <w:t xml:space="preserve"> dopuszcza się:</w:t>
      </w:r>
    </w:p>
    <w:p w14:paraId="0F0B8BA3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48F8AC48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06F61C41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na terenach oznaczonych w części graficznej planu miejscowego symbolem </w:t>
      </w:r>
      <w:r>
        <w:rPr>
          <w:b/>
          <w:color w:val="000000"/>
          <w:u w:color="000000"/>
        </w:rPr>
        <w:t xml:space="preserve">KR </w:t>
      </w:r>
      <w:r>
        <w:rPr>
          <w:color w:val="000000"/>
          <w:u w:color="000000"/>
        </w:rPr>
        <w:t>dopuszcza się:</w:t>
      </w:r>
    </w:p>
    <w:p w14:paraId="2AA691C7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obiekty i urządzenia infrastruktury technicznej,</w:t>
      </w:r>
    </w:p>
    <w:p w14:paraId="5333408E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zieleń przydrożną,</w:t>
      </w:r>
    </w:p>
    <w:p w14:paraId="7040697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miejsca do parkowania;</w:t>
      </w:r>
    </w:p>
    <w:p w14:paraId="7219F66E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na terenach oznaczonych w części graficznej planu miejscowego symbolem </w:t>
      </w:r>
      <w:r>
        <w:rPr>
          <w:b/>
          <w:color w:val="000000"/>
          <w:u w:color="000000"/>
        </w:rPr>
        <w:t>WS,</w:t>
      </w:r>
      <w:r>
        <w:rPr>
          <w:color w:val="000000"/>
          <w:u w:color="000000"/>
        </w:rPr>
        <w:t xml:space="preserve"> dopuszcza się:</w:t>
      </w:r>
    </w:p>
    <w:p w14:paraId="690FC6D4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urządzenia wodne zgodnie z przepisami odrębnymi,</w:t>
      </w:r>
    </w:p>
    <w:p w14:paraId="1D4BB060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obiekty mostowe,</w:t>
      </w:r>
    </w:p>
    <w:p w14:paraId="7BBA01ED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przepusty,</w:t>
      </w:r>
    </w:p>
    <w:p w14:paraId="29E8E400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obiekty i urządzenia infrastruktury technicznej;</w:t>
      </w:r>
    </w:p>
    <w:p w14:paraId="667F9410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 zakresie geometrii dachu: dopuszcza się odstępstwo od parametrów ustalonych w przepisach szczegółowych poprzez zastosowanie dowolnych parametrów na powierzchni nie większej niż 10 % całego dachu w strefach „B” oraz „K” ochrony konserwatorskiej i nie większej niż 30 % całego dachu poza strefami ochrony konserwatorskiej.</w:t>
      </w:r>
    </w:p>
    <w:p w14:paraId="47600F44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Ustala się następujące</w:t>
      </w:r>
      <w:r>
        <w:rPr>
          <w:b/>
          <w:color w:val="000000"/>
          <w:u w:color="000000"/>
        </w:rPr>
        <w:t xml:space="preserve"> zasady ochrony środowiska, przyrody i </w:t>
      </w:r>
      <w:r>
        <w:rPr>
          <w:b/>
          <w:color w:val="000000"/>
          <w:u w:color="000000"/>
        </w:rPr>
        <w:t>krajobrazu oraz zasady kształtowania krajobrazu:</w:t>
      </w:r>
    </w:p>
    <w:p w14:paraId="4B367B4B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ochrony środowiska ustala się:</w:t>
      </w:r>
    </w:p>
    <w:p w14:paraId="0424D30D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zakaz lokalizacji przedsięwzięć mogących zawsze znacząco oddziaływać na środowisko,</w:t>
      </w:r>
    </w:p>
    <w:p w14:paraId="13C1554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zakaz lokalizacji przedsięwzięć mogących potencjalnie znacząco oddziaływać na środowisko, z wyłączeniem:</w:t>
      </w:r>
    </w:p>
    <w:p w14:paraId="7AF1E13B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inwestycji z zakresu infrastruktury technicznej,</w:t>
      </w:r>
    </w:p>
    <w:p w14:paraId="2C5A7D1C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zabudowy przemysłowej lub magazynowej, wraz z towarzyszącą jej infrastrukturą, w granicach terenu oznaczonego w części graficznej planu miejscowego symbolem 1P,</w:t>
      </w:r>
    </w:p>
    <w:p w14:paraId="267E6B92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wymóg zachowania wartości dopuszczalnych poziomów hałasu w środowisku, określonych w przepisach odrębnych:</w:t>
      </w:r>
    </w:p>
    <w:p w14:paraId="5AF1960E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na rysunku planu miejscowego symbolami MN - jak dla terenów zabudowy mieszkaniowej jednorodzinnej,</w:t>
      </w:r>
    </w:p>
    <w:p w14:paraId="01168503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terenu oznaczonego w części graficznej planu miejscowego symbolem MW – jak dla terenów  zabudowy mieszkaniowej wielorodzinnej,</w:t>
      </w:r>
    </w:p>
    <w:p w14:paraId="57F9631C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symbolami MN-U, MW-U – jak dla terenów mieszkaniowo-usługowych,</w:t>
      </w:r>
    </w:p>
    <w:p w14:paraId="155C0AA8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symbolem US, U-ZP, ZP – jak dla terenów rekreacyjno-wypoczynkowych,</w:t>
      </w:r>
    </w:p>
    <w:p w14:paraId="07119A0A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terenów oznaczonych w części graficznej planu miejscowego symbolem RZM – jak dla terenów zabudowy zagrodowej,</w:t>
      </w:r>
    </w:p>
    <w:p w14:paraId="494F1E4A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ochrony przyrody i krajobrazu oraz zasad kształtowania krajobrazu, ustala się:</w:t>
      </w:r>
    </w:p>
    <w:p w14:paraId="7B49E09C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obszar objęty planem miejscowym, w całości położony jest w granicach Parku Krajobrazowego „Dolina Baryczy”, dla którego należy zachować zasady określone w przepisach odrębnych,</w:t>
      </w:r>
    </w:p>
    <w:p w14:paraId="5C3AB7CE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obszar objęty planem miejscowym, w zakresie wskazanym w części graficznej planu, położona jest w granicach Obszaru Specjalnej Ochrony Siedlisk Natura 2000 „Dolina Baryczy” PLB020001, dla którego należy zachować zasady określone w przepisach odrębnych,</w:t>
      </w:r>
    </w:p>
    <w:p w14:paraId="53AA52D8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obszar objęty planem miejscowym, w zakresie wskazanym w części graficznej planu, położona jest w granicach Specjalnego Obszaru Ochrony Siedlisk Natura 2000 „Ostoja nad Baryczą” PLH020041, dla którego należy zachować zasady określone w przepisach odrębnych.</w:t>
      </w:r>
    </w:p>
    <w:p w14:paraId="48390FB8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ochrony dziedzictwa kulturowego i zabytków, w tym krajobrazów kulturowych, oraz dóbr kultury współczesnej:</w:t>
      </w:r>
    </w:p>
    <w:p w14:paraId="501CEB39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zasad ochrony dziedzictwa kulturowego i zabytków, w tym krajobrazów kulturowych ustala się:</w:t>
      </w:r>
    </w:p>
    <w:p w14:paraId="0078BA56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zasad ochrony dziedzictwa kulturowego i zabytków, w tym krajobrazów kulturowych ustala się:</w:t>
      </w:r>
    </w:p>
    <w:p w14:paraId="32911370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strefę „B” ochrony konserwatorskiej</w:t>
      </w:r>
      <w:r>
        <w:rPr>
          <w:color w:val="000000"/>
          <w:u w:color="000000"/>
        </w:rPr>
        <w:t>, w której obowiązują następujące wymogi:</w:t>
      </w:r>
    </w:p>
    <w:p w14:paraId="02A39140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 inwestycjach związanych z modernizacją, rozbudową, przebudową obiektów istniejących, należy nawiązać gabarytami, sposobem kształtowania bryły i użytymi materiałami elewacyjnymi do miejscowej tradycji architektonicznej, a w przypadku rozbudowy istniejącego obiektu, powinien on tworzyć spójną kompozycję z istniejącą częścią,</w:t>
      </w:r>
    </w:p>
    <w:p w14:paraId="5807EFE5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nową i przebudowaną zabudowę należy zharmonizować z historyczną kompozycją przestrzenno-architektoniczną w zakresie lokalizacji, rozplanowania, skali, ukształtowania bryły, w tym kształtu i </w:t>
      </w:r>
      <w:r>
        <w:rPr>
          <w:color w:val="000000"/>
          <w:u w:color="000000"/>
        </w:rPr>
        <w:t>wysokości dachu, poziomu posadowienia parteru, użytych form architektonicznych, podziałów otworów okiennych i drzwiowych, materiałów oraz przy nawiązaniu do historycznej zabudowy miejscowości,</w:t>
      </w:r>
    </w:p>
    <w:p w14:paraId="438B09C2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elewacje należy kształtować w nawiązaniu do rozwiązań stosowanych w występujących na danym terenie budynkach historycznych o zachowanych walorach architektonicznych – w zakresie podziałów, detalu, kolorystyki, materiałów elewacyjnych,</w:t>
      </w:r>
    </w:p>
    <w:p w14:paraId="48023D4E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zakazuje się stosowania okładzin sztucznych (np. </w:t>
      </w:r>
      <w:proofErr w:type="spellStart"/>
      <w:r>
        <w:rPr>
          <w:color w:val="000000"/>
          <w:u w:color="000000"/>
        </w:rPr>
        <w:t>siding</w:t>
      </w:r>
      <w:proofErr w:type="spellEnd"/>
      <w:r>
        <w:rPr>
          <w:color w:val="000000"/>
          <w:u w:color="000000"/>
        </w:rPr>
        <w:t>, okładziny z blachy trapezowej),</w:t>
      </w:r>
    </w:p>
    <w:p w14:paraId="18F6AD68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usunąć lub poddać odpowiedniej przebudowie elementy dysharmonizujące, nie spełniające wymagań ochrony strefy konserwatorskiej,</w:t>
      </w:r>
    </w:p>
    <w:p w14:paraId="4A6740FA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uzupełniać zieleń wysoką, w tym nasadzenia przydrożne,</w:t>
      </w:r>
    </w:p>
    <w:p w14:paraId="76349A9F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urządzeń technicznych o gabarytach kolidujących z krajobrazem kulturowym obszaru,</w:t>
      </w:r>
    </w:p>
    <w:p w14:paraId="5B1CC3DD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naziemnych zbiorników na gaz,</w:t>
      </w:r>
    </w:p>
    <w:p w14:paraId="7992EA18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elementów wysokościowych instalacji odnawialnych źródeł energii,</w:t>
      </w:r>
    </w:p>
    <w:p w14:paraId="142BA1BE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zakazuje się lokalizowania wolnostojących silosów, dopuszcza się silosy obudowane w budynkach,</w:t>
      </w:r>
    </w:p>
    <w:p w14:paraId="68E8B5C9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strefę „K” ochrony konserwatorskiej</w:t>
      </w:r>
      <w:r>
        <w:rPr>
          <w:color w:val="000000"/>
          <w:u w:color="000000"/>
        </w:rPr>
        <w:t>, tożsamą z historycznym układem ruralistycznym wsi Żmigródek, ujętym w gminnej ewidencji zabytków, w której obowiązują następujące wymogi:</w:t>
      </w:r>
    </w:p>
    <w:p w14:paraId="4292CFF6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nowa zabudowa powinna nawiązywać do budownictwa regionalnego w zakresie skali, bryły, proporcji, detali, kolorystyki i użytych tradycyjnych materiałów budowlanych, starannie wpisując się w krajobraz kulturowy,</w:t>
      </w:r>
    </w:p>
    <w:p w14:paraId="1540F872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zachować i wyeksponować elementy historycznego układu przestrzennego i kompozycje zieleni,</w:t>
      </w:r>
    </w:p>
    <w:p w14:paraId="7887EC5A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wszelka działalność inwestycyjna musi uwzględniać istniejące już związki przestrzenne i planistyczne,</w:t>
      </w:r>
    </w:p>
    <w:p w14:paraId="118328B7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należy przyznać pierwszeństwo wszelkim działaniom odtworzeniowym i rewaloryzacyjnym, zarówno w przypadku przyrodniczych elementów krajobrazu, jak i w stosunku do historycznej struktury technicznej, instalacji wodnych, sieci komunikacyjnych oraz obiektów zabytkowych znajdujących się w wojewódzkiej i gminnej ewidencji zabytków,</w:t>
      </w:r>
    </w:p>
    <w:p w14:paraId="6FBDBD3C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b/>
          <w:color w:val="000000"/>
          <w:u w:color="000000"/>
        </w:rPr>
        <w:t>ochronę obiektów ujętych w gminnej ewidencji zabytków</w:t>
      </w:r>
      <w:r>
        <w:rPr>
          <w:color w:val="000000"/>
          <w:u w:color="000000"/>
        </w:rPr>
        <w:t>, dla których obowiązują następujące zasady:</w:t>
      </w:r>
    </w:p>
    <w:p w14:paraId="5D118EF2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występują obiekty ujęte w gminnej ewidencji zabytków:</w:t>
      </w:r>
    </w:p>
    <w:p w14:paraId="05A5C657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obora w zespole folwarcznym, k. XIX w., Żmigródek, ul. Zakładowa 2,</w:t>
      </w:r>
    </w:p>
    <w:p w14:paraId="43B6A4B6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czworak w zespole folwarcznym, 1896 r., Żmigródek, ul. Milicka 2,</w:t>
      </w:r>
    </w:p>
    <w:p w14:paraId="50D9C14B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proofErr w:type="spellStart"/>
      <w:r>
        <w:rPr>
          <w:color w:val="000000"/>
          <w:u w:color="000000"/>
        </w:rPr>
        <w:t>sześciorak</w:t>
      </w:r>
      <w:proofErr w:type="spellEnd"/>
      <w:r>
        <w:rPr>
          <w:color w:val="000000"/>
          <w:u w:color="000000"/>
        </w:rPr>
        <w:t xml:space="preserve"> w zespole folwarcznym, k. XIX w., Żmigródek, ul. Zakładowa 3 (d. nr 75e),</w:t>
      </w:r>
    </w:p>
    <w:p w14:paraId="4CD938A8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obora, cielętnik w zespole folwarcznym, 1892 r., Żmigródek, ul. Zakładowa 2,</w:t>
      </w:r>
    </w:p>
    <w:p w14:paraId="445F59C6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stajnia w zespole folwarcznym, k. XIX w., Żmigródek, ul. Zakładowa 1,</w:t>
      </w:r>
    </w:p>
    <w:p w14:paraId="1903EB7B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dom, ok. 1905 r., ul. Milicka 1 (d. nr 2),</w:t>
      </w:r>
    </w:p>
    <w:p w14:paraId="466D8C66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budynek gospodarczy w zagrodzie, pocz. XX w., Żmigródek, ul. Główna 5 (d. nr 6),</w:t>
      </w:r>
    </w:p>
    <w:p w14:paraId="73B0002A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stodoła w </w:t>
      </w:r>
      <w:r>
        <w:rPr>
          <w:color w:val="000000"/>
          <w:u w:color="000000"/>
        </w:rPr>
        <w:t>zagrodzie, pocz. XX w., Żmigródek, ul. Główna 5 (d. nr 6),</w:t>
      </w:r>
    </w:p>
    <w:p w14:paraId="420346AA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 w zagrodzie, pocz. XX w., Żmigródek, ul. Główna 5 (d. nr 6),</w:t>
      </w:r>
    </w:p>
    <w:p w14:paraId="12BAC7E5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dom, ok. 1920 r., Żmigródek, ul. Główna 7 (d. nr 7),</w:t>
      </w:r>
    </w:p>
    <w:p w14:paraId="22935165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stodoła, pocz. XX w., Żmigródek, ul. Główna 13 (d. nr 10),</w:t>
      </w:r>
    </w:p>
    <w:p w14:paraId="08A641D2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dom, ok. 1900 r., Żmigródek, ul. Główna 11 (d. nr 9),</w:t>
      </w:r>
    </w:p>
    <w:p w14:paraId="6D37DC9E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dom, ok. 1920 r., Żmigródek, ul. Rawicka 3-3a (d. nr 15),</w:t>
      </w:r>
    </w:p>
    <w:p w14:paraId="1317969B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stodoła, 1907 r., Żmigródek, ul. Główna 23 (d. nr 18),</w:t>
      </w:r>
    </w:p>
    <w:p w14:paraId="0AF97FDE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lastRenderedPageBreak/>
        <w:t>-- </w:t>
      </w:r>
      <w:r>
        <w:rPr>
          <w:color w:val="000000"/>
          <w:u w:color="000000"/>
        </w:rPr>
        <w:t>dom, ok. 1920 r., Żmigródek, ul. Główna 27-27a (d. nr 20a),</w:t>
      </w:r>
    </w:p>
    <w:p w14:paraId="20AB2D09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stodoła, pocz. XX w., Żmigródek, ul. Głowna 43 (d. nr 26),</w:t>
      </w:r>
    </w:p>
    <w:p w14:paraId="61EB6D63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dom (d. gospoda) , ok. 1920 r., Żmigródek, ul. Główna 26 (d. nr 61),</w:t>
      </w:r>
    </w:p>
    <w:p w14:paraId="1FD054DF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stodoła, pocz. XX w., Żmigródek, ul. Główna 16 (d. nr 64),</w:t>
      </w:r>
    </w:p>
    <w:p w14:paraId="1654A3B0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stodoła, pocz. XX w., Żmigródek, ul. Główna 4 (d. nr 68),</w:t>
      </w:r>
    </w:p>
    <w:p w14:paraId="48186503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stodoła, pocz. XX w., Żmigródek, ul. Wodociągowa 2 (d. nr 76);</w:t>
      </w:r>
    </w:p>
    <w:p w14:paraId="6AE80844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wyżej wymienionych zabytkowych obiektach obowiązują następujące wymogi:</w:t>
      </w:r>
    </w:p>
    <w:p w14:paraId="62921349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lub w przypadku zniszczenia odtworzyć historyczną bryłę, kształt i geometrię dachu oraz zastosować tradycyjne materiały budowlane, w tym rodzaj, typ i kolor pokrycia dachowego,</w:t>
      </w:r>
    </w:p>
    <w:p w14:paraId="18FAB7A8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utrzymać, a w zniszczonych fragmentach odtworzyć historyczny detal architektoniczny,</w:t>
      </w:r>
    </w:p>
    <w:p w14:paraId="65645D3A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kształt, rozmiary i rozmieszczenie otworów zgodnie z historycznym wizerunkiem budynku,</w:t>
      </w:r>
    </w:p>
    <w:p w14:paraId="565978EC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utrzymać lub odtworzyć oryginalną stolarkę okien i drzwi,</w:t>
      </w:r>
    </w:p>
    <w:p w14:paraId="4180E36E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należy zachować oryginalne elewacje i ich wystrój architektoniczny oraz historyczny układ wnętrz i zachowane elementy wystroju i wyposażenia,</w:t>
      </w:r>
    </w:p>
    <w:p w14:paraId="08A1C9CE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wskazane jest stosowanie kolorystyki nawiązującej do stosowanej w przeszłości,</w:t>
      </w:r>
    </w:p>
    <w:p w14:paraId="41C7AB51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elementy nowo projektowane instalacji technicznych projektować i montować z zachowaniem wartości zabytkowych obiektów,</w:t>
      </w:r>
    </w:p>
    <w:p w14:paraId="24042735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b/>
          <w:color w:val="000000"/>
          <w:u w:color="000000"/>
        </w:rPr>
        <w:t>ochronę stanowisk archeologicznych</w:t>
      </w:r>
      <w:r>
        <w:rPr>
          <w:color w:val="000000"/>
          <w:u w:color="000000"/>
        </w:rPr>
        <w:t>, dla których obowiązują następujące zasady:</w:t>
      </w:r>
    </w:p>
    <w:p w14:paraId="4E60DB7E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na obszarze objętym planem miejscowym występują następujące stanowiska archeologiczne:</w:t>
      </w:r>
    </w:p>
    <w:p w14:paraId="74D1564C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34/36/72-27 AZP: Ślad osadnictwa, Epoka kamienia; Punkt osadniczy, Kultura łużycka; Punkt osadniczy, Średniowiecze,</w:t>
      </w:r>
    </w:p>
    <w:p w14:paraId="1DE8A689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35/37/72-27 AZP: Ślad osadnictwa, Pradzieje; Punkt osadniczy, Wczesne średniowiecze,</w:t>
      </w:r>
      <w:r>
        <w:rPr>
          <w:color w:val="000000"/>
          <w:u w:color="000000"/>
        </w:rPr>
        <w:br/>
        <w:t>X-XIII w.; Ślad osadnictwa, Średniowiecze,</w:t>
      </w:r>
    </w:p>
    <w:p w14:paraId="0149923E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29/31/72-27 AZP: Ślad osadnictwa, Kultura łużycka; Ślad osadnictwa, Wczesne średniowiecze, X-XIII w.; Punkt osadniczy, Średniowiecze,</w:t>
      </w:r>
    </w:p>
    <w:p w14:paraId="7E7BF809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obrębie i zasięgu znajdującego się na terenie objętym planem chronionego stanowiska archeologicznego dla inwestycji związanych z pracami ziemnymi, wymagane jest przeprowadzenie badań archeologicznych, zgodnie z przepisami odrębnymi,</w:t>
      </w:r>
    </w:p>
    <w:p w14:paraId="74E77537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b/>
          <w:color w:val="000000"/>
          <w:u w:color="000000"/>
        </w:rPr>
        <w:t xml:space="preserve">strefę „OW’’ ochrony konserwatorskiej, </w:t>
      </w:r>
      <w:r>
        <w:rPr>
          <w:color w:val="000000"/>
          <w:u w:color="000000"/>
        </w:rPr>
        <w:t>w obrębie której dla inwestycji związanych z pracami ziemnymi, wymagane jest przeprowadzenie badań archeologicznych, zgodnie z przepisami odrębnymi;</w:t>
      </w:r>
    </w:p>
    <w:p w14:paraId="6E88C5C6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planie nie określa się zasad ochrony dóbr kultury współczesnej, z uwagi na brak takich dóbr.</w:t>
      </w:r>
    </w:p>
    <w:p w14:paraId="10183472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granice i sposoby zagospodarowania terenów lub obiektów podlegających ochronie na podstawie odrębnych przepisów:</w:t>
      </w:r>
    </w:p>
    <w:p w14:paraId="0BA0A21B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obszar objęty planem miejscowym, w całości położony jest w granicach Głównego Zbiornika Wód Podziemnych nr 303 Pradolina Barycz-Głogów (E), na którym należy zachować zasady określone w przepisach odrębnych;</w:t>
      </w:r>
    </w:p>
    <w:p w14:paraId="2C778B20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część obszaru objętego planem miejscowym, w zakresie wskazanym w części graficznej planu, położona jest w granicach obszarów szczególnego zagrożenia powodzią:</w:t>
      </w:r>
    </w:p>
    <w:p w14:paraId="01210FA3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obszaru na którym prawdopodobieństwo wystąpienia powodzi jest średnie i wynosi 1%</w:t>
      </w:r>
    </w:p>
    <w:p w14:paraId="6C619EDA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obszaru, na którym prawdopodobieństwo wystąpienia powodzi jest wysokie i wynosi 10%,</w:t>
      </w:r>
    </w:p>
    <w:p w14:paraId="78180BB3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c) </w:t>
      </w:r>
      <w:r>
        <w:rPr>
          <w:color w:val="000000"/>
          <w:u w:color="000000"/>
        </w:rPr>
        <w:t>przy lokalizacji obiektów budowlanych w granicach obszarów szczególnego zagrożenia powodzią wymienionych w lit. a i b obowiązują zasady określone w przepisach odrębnych oraz następujące ustalenia:</w:t>
      </w:r>
    </w:p>
    <w:p w14:paraId="4D85DD2B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zakaz realizacji kondygnacji podziemnych,</w:t>
      </w:r>
    </w:p>
    <w:p w14:paraId="2382A04D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wymóg wyniesienia poziomu posadzki parteru budynków powyżej poziomu wód powodziowych,</w:t>
      </w:r>
    </w:p>
    <w:p w14:paraId="654C701B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wymóg stosowania odpowiednich technologii i materiałów wodoodpornych,</w:t>
      </w:r>
    </w:p>
    <w:p w14:paraId="4075963F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wymóg zabezpieczenia wszelkich instalacji i przyłączy przed uszkodzeniem w czasie zalania.</w:t>
      </w:r>
    </w:p>
    <w:p w14:paraId="7A11D1F0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 xml:space="preserve">W planie miejscowym </w:t>
      </w:r>
      <w:r>
        <w:rPr>
          <w:b/>
          <w:color w:val="000000"/>
          <w:u w:color="000000"/>
        </w:rPr>
        <w:t>nie określa się</w:t>
      </w:r>
      <w:r>
        <w:rPr>
          <w:color w:val="000000"/>
          <w:u w:color="000000"/>
        </w:rPr>
        <w:t>:</w:t>
      </w:r>
    </w:p>
    <w:p w14:paraId="18AFE956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granic i sposobów zagospodarowania terenów górniczych, z uwagi na brak takich terenów;</w:t>
      </w:r>
    </w:p>
    <w:p w14:paraId="2F97598A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granic i sposobów zagospodarowania obszarów osuwania się mas ziemnych, z uwagi na brak takich obszarów;</w:t>
      </w:r>
    </w:p>
    <w:p w14:paraId="5C52E00B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granic i sposobów zagospodarowania krajobrazów priorytetowych określonych w audycie krajobrazowym oraz w planach zagospodarowania przestrzennego województwa, z uwagi na brak krajobrazów priorytetowych,</w:t>
      </w:r>
    </w:p>
    <w:p w14:paraId="7269E8D3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sposobu i terminu tymczasowego zagospodarowania, urządzania i użytkowania terenów, z uwagi na brak potrzeby wyznaczania.</w:t>
      </w:r>
    </w:p>
    <w:p w14:paraId="6415D6E5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szczegółowe zasady i warunki scalania i podziału nieruchomości</w:t>
      </w:r>
      <w:r>
        <w:rPr>
          <w:color w:val="000000"/>
          <w:u w:color="000000"/>
        </w:rPr>
        <w:t>:</w:t>
      </w:r>
    </w:p>
    <w:p w14:paraId="34E1ECED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terenów oznaczonych symbolami MN, MN-U, MW, MW-U, U:</w:t>
      </w:r>
    </w:p>
    <w:p w14:paraId="5A4B22DA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1000m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0F84EE79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20 m,</w:t>
      </w:r>
    </w:p>
    <w:p w14:paraId="79BD534C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80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;</w:t>
      </w:r>
    </w:p>
    <w:p w14:paraId="6F31856A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terenów oznaczonych symbolami US, P, U-ZP:</w:t>
      </w:r>
    </w:p>
    <w:p w14:paraId="59D8289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2000m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</w:p>
    <w:p w14:paraId="549B320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20 m,</w:t>
      </w:r>
    </w:p>
    <w:p w14:paraId="60DA2CD3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stosunku do pasa drogowego powinien zawierać się w przedziale od 80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;</w:t>
      </w:r>
    </w:p>
    <w:p w14:paraId="2CF67A0A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dla pozostałych terenów przeznaczonych na cele inne niż rolne i leśne, a także działek wydzielanych pod komunikację oraz obiekty i urządzenia infrastruktury technicznej:</w:t>
      </w:r>
    </w:p>
    <w:p w14:paraId="06B48DE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powierzchnia działek nie może być mniejsza niż 10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, </w:t>
      </w:r>
    </w:p>
    <w:p w14:paraId="57B3A5B6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szerokość frontu działek nie może być mniejsza niż 2 m,</w:t>
      </w:r>
    </w:p>
    <w:p w14:paraId="21E9211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kąt położenia granic działek w </w:t>
      </w:r>
      <w:r>
        <w:rPr>
          <w:color w:val="000000"/>
          <w:u w:color="000000"/>
        </w:rPr>
        <w:t>stosunku do pasa drogowego powinien zawierać się w przedziale od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 do 90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. </w:t>
      </w:r>
    </w:p>
    <w:p w14:paraId="07A65CE0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zasady modernizacji, rozbudowy i budowy systemów komunikacji i infrastruktury technicznej</w:t>
      </w:r>
      <w:r>
        <w:rPr>
          <w:color w:val="000000"/>
          <w:u w:color="000000"/>
        </w:rPr>
        <w:t>:</w:t>
      </w:r>
    </w:p>
    <w:p w14:paraId="1445ACBC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zaopatrzenia w </w:t>
      </w:r>
      <w:r>
        <w:rPr>
          <w:color w:val="000000"/>
          <w:u w:color="000000"/>
        </w:rPr>
        <w:t>wodę ustala się:</w:t>
      </w:r>
    </w:p>
    <w:p w14:paraId="500053F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wodę z sieci wodociągowej na zasadach określonych w przepisach odrębnych,</w:t>
      </w:r>
    </w:p>
    <w:p w14:paraId="37A29A0D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zaopatrzenie w wodę z indywidualnych ujęć wody na zasadach określonych w przepisach odrębnych,</w:t>
      </w:r>
    </w:p>
    <w:p w14:paraId="73FCC4B4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dopuszcza się wykorzystanie wód opadowych i roztopowych do celów gospodarczych na zasadach określonych w przepisach odrębnych;</w:t>
      </w:r>
    </w:p>
    <w:p w14:paraId="43132161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odprowadzania i unieszkodliwiania ścieków ustala się:</w:t>
      </w:r>
    </w:p>
    <w:p w14:paraId="4FF466F8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odprowadzanie ścieków do sieci kanalizacyjnej na zasadach określonych w przepisach odrębnych,</w:t>
      </w:r>
    </w:p>
    <w:p w14:paraId="6E1F2509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urządzenia indywidualnego gromadzenia ścieków w postaci zbiorników bezodpływowych na nieczystości ciekłe lub oczyszczalni ścieków na zasadach określonych w przepisach odrębnych;</w:t>
      </w:r>
    </w:p>
    <w:p w14:paraId="3BDCCE85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zakresie odprowadzania wód opadowych i roztopowych ustala się:</w:t>
      </w:r>
    </w:p>
    <w:p w14:paraId="20EB8EB9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stosowanie rozwiązań technicznych służących zatrzymaniu wód opadowych i roztopowych z połaci dachowych i terenów utwardzonych w obrębie posesji na zasadach określonych w przepisach odrębnych,</w:t>
      </w:r>
    </w:p>
    <w:p w14:paraId="07CF10D9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odprowadzanie wód opadowych i roztopowych siecią kanalizacji deszczowej, na zasadach określonych w przepisach odrębnych;</w:t>
      </w:r>
    </w:p>
    <w:p w14:paraId="2DC60CCE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zakresie zaopatrzenia w energię elektryczną ustala się:</w:t>
      </w:r>
    </w:p>
    <w:p w14:paraId="21E6089D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elektryczną z dystrybucyjnej sieci elektroenergetycznej, na zasadach określonych w przepisach odrębnych,</w:t>
      </w:r>
    </w:p>
    <w:p w14:paraId="10E53758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zaopatrzenie w energię z odnawialnych źródeł energii, na zasadach określonych w przepisach odrębnych,</w:t>
      </w:r>
    </w:p>
    <w:p w14:paraId="4488E94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terenach zabudowanych oraz przeznaczonych pod zabudowę nowe elektroenergetyczne linie średniego i niskiego napięcia należy realizować wyłącznie jako kablowe;</w:t>
      </w:r>
    </w:p>
    <w:p w14:paraId="536B5A55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zakresie zaopatrzenia w gaz ustala się:</w:t>
      </w:r>
    </w:p>
    <w:p w14:paraId="58755887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gaz z dystrybucyjnej sieci gazowej, na zasadach określonych w przepisach odrębnych,</w:t>
      </w:r>
    </w:p>
    <w:p w14:paraId="28D2113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dopuszcza się zaopatrzenie w gaz z </w:t>
      </w:r>
      <w:r>
        <w:rPr>
          <w:color w:val="000000"/>
          <w:u w:color="000000"/>
        </w:rPr>
        <w:t>indywidualnych zbiorników, na zasadach określonych w przepisach odrębnych;</w:t>
      </w:r>
    </w:p>
    <w:p w14:paraId="1DEBC446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zakresie zaopatrzenia w energię cieplną ustala się:</w:t>
      </w:r>
    </w:p>
    <w:p w14:paraId="78D581F9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zaopatrzenie w energię cieplną z lokalnych i indywidualnych źródeł ciepła, na zasadach określonych w przepisach odrębnych,</w:t>
      </w:r>
    </w:p>
    <w:p w14:paraId="31E837C7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zaopatrzenie w energię cieplną z odnawialnych źródeł energii, na zasadach określonych w przepisach odrębnych;</w:t>
      </w:r>
    </w:p>
    <w:p w14:paraId="34B08CC2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zakresie gospodarowania odpadami ustala się: gospodarowanie odpadami na zasadach określonych w przepisach odrębnych;</w:t>
      </w:r>
    </w:p>
    <w:p w14:paraId="7414C28B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 zakresie urządzeń infrastruktury teletechnicznej dopuszcza się lokalizację inwestycji z zakresu łączności publicznej – w rozumieniu i na zasadach określonych w przepisach odrębnych;</w:t>
      </w:r>
    </w:p>
    <w:p w14:paraId="5B78470E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Ustalenia określone w § 10 ust. </w:t>
      </w:r>
      <w:r>
        <w:rPr>
          <w:color w:val="000000"/>
          <w:u w:color="000000"/>
        </w:rPr>
        <w:t>1–6 mogą występować pojedynczo lub łącznie.</w:t>
      </w:r>
    </w:p>
    <w:p w14:paraId="304AC7F7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W zakresie liczby miejsc do parkowania ustala się następujące zasady:</w:t>
      </w:r>
    </w:p>
    <w:p w14:paraId="3FE62D7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dla zabudowy mieszkaniowej jednorodzinnej, zabudowy mieszkaniowej wielorodzinnej oraz zabudowy zagrodowej obowiązują minimalnie 2 miejsca do parkowania na 1 lokal mieszkalny,</w:t>
      </w:r>
    </w:p>
    <w:p w14:paraId="7C6A124D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usług:</w:t>
      </w:r>
    </w:p>
    <w:p w14:paraId="0C4D1467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usług sportu i rekreacji obowiązuje minimalnie 1 miejsce do parkowania na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usługowych, </w:t>
      </w:r>
    </w:p>
    <w:p w14:paraId="041473C9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dla pozostałych usług obowiązuje minimalnie 1 miejsce do parkowania na 40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obiektów usługowych, </w:t>
      </w:r>
    </w:p>
    <w:p w14:paraId="1FAA9A9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dla produkcji oraz produkcji w gospodarstwach rolnych, hodowlanych, ogrodniczych obowiązuje minimalnie 1 miejsce do parkowania na 2 zatrudnionych</w:t>
      </w:r>
    </w:p>
    <w:p w14:paraId="6EFA8CDE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dla pozostałych terenów ustala się brak konieczności wyznaczania miejsc do parkowania,</w:t>
      </w:r>
    </w:p>
    <w:p w14:paraId="1CFB08F3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do parkowania pojazdów zaopatrzonych w kartę parkingową obowiązuje liczba miejsc w ilości co najmniej:</w:t>
      </w:r>
    </w:p>
    <w:p w14:paraId="6593261F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1 miejsce do parkowania – jeżeli liczba miejsc wynosi od 6 do 15,</w:t>
      </w:r>
    </w:p>
    <w:p w14:paraId="592A56EA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2 miejsce do parkowania – jeżeli liczba miejsc wynosi od 16 do 40,</w:t>
      </w:r>
    </w:p>
    <w:p w14:paraId="48553F2D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3 miejsce do parkowania – jeżeli liczba miejsc wynosi od 41 do 100,</w:t>
      </w:r>
    </w:p>
    <w:p w14:paraId="096577F8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4% ogólnej liczby miejsc postojowych jeżeli ogólna liczba miejsc wynosi więcej niż 100,</w:t>
      </w:r>
    </w:p>
    <w:p w14:paraId="14B817AC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w przypadku terenów o więcej niż jednym przeznaczeniu, ilość miejsc do parkowania należy obliczać jako sumę minimalnej liczby miejsc wymaganych dla każdego z realizowanych przeznaczeń,</w:t>
      </w:r>
    </w:p>
    <w:p w14:paraId="7570EC43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sposób realizacji miejsc do parkowania: sytuowanie miejsc do parkowania na terenie własnym inwestora w formie stanowisk postojowych lub garaży,</w:t>
      </w:r>
    </w:p>
    <w:p w14:paraId="0824AAD3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dla istniejącej zabudowy w przypadku remontu, przebudowy: dopuszcza się utrzymanie dotychczasowej ilości miejsc do parkowania;</w:t>
      </w:r>
    </w:p>
    <w:p w14:paraId="01BA0419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W zakresie powiązań układu komunikacyjnego z układem zewnętrznym oraz obsługi komunikacyjnej ustala się:</w:t>
      </w:r>
    </w:p>
    <w:p w14:paraId="583BE356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powiązanie układu komunikacyjnego objętego ustaleniami planu z zewnętrznym układem komunikacyjnym tj. drogami publicznymi, na zasadach określonych w przepisach odrębnych,</w:t>
      </w:r>
    </w:p>
    <w:p w14:paraId="0C8D3330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obsługę komunikacyjną:</w:t>
      </w:r>
    </w:p>
    <w:p w14:paraId="1FF173DC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drogi głównej oznaczonej w części graficznej planu miejscowego symbolem 1KDG,</w:t>
      </w:r>
    </w:p>
    <w:p w14:paraId="0CF673F9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drogi lokalnej oznaczonej w części graficznej planu miejscowego symbolem 1KDL,</w:t>
      </w:r>
    </w:p>
    <w:p w14:paraId="65CBE202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dróg dojazdowych oznaczonych w części graficznej planu symbolami 1KDD–5KDD</w:t>
      </w:r>
    </w:p>
    <w:p w14:paraId="59AA5CAA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terenów komunikacji drogowej wewnętrznej oznaczonych w części graficznej planu miejscowego symbolami 1KR–12KR,</w:t>
      </w:r>
    </w:p>
    <w:p w14:paraId="77B1BBD9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dojazdów, które mogą być wydzielane na terenach objętych planem, dla których należy przyjąć szerokość minimum 8 m i zapewnić widoczność przy skrzyżowaniu z drogami, a w przypadku dojazdów nieprzelotowych zakończyć je placem manewrowym o wymiarach minimum 12,5 m x 12,5 m,</w:t>
      </w:r>
    </w:p>
    <w:p w14:paraId="788068B8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 przyległych dróg publicznych zlokalizowanych poza granicami niniejszego planu, na zasadach określonych w przepisach odrębnych.</w:t>
      </w:r>
    </w:p>
    <w:p w14:paraId="713E4278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>szczególne warunki zagospodarowania terenów oraz ograniczenia w ich użytkowaniu, w tym zakaz zabudowy:</w:t>
      </w:r>
    </w:p>
    <w:p w14:paraId="7C88D786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istniejących napowietrznych linii elektroenergetycznych ustala się:</w:t>
      </w:r>
    </w:p>
    <w:p w14:paraId="28C1191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pas technologiczny napowietrznej linii elektroenergetycznej niskiego napięcia – o szerokości 7m (po 3,5m po każdej ze stron od osi linii),</w:t>
      </w:r>
    </w:p>
    <w:p w14:paraId="12ECEA2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pas technologiczny napowietrznej linii elektroenergetycznej średniego napięcia – o szerokości 14m (po 7m po każdej ze stron od osi linii);</w:t>
      </w:r>
    </w:p>
    <w:p w14:paraId="25E0206E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pasach technologicznych napowietrznych linii elektroenergetycznych wymienionych w pkt 1) ustala się zakaz sytuowania instalacji fotowoltaicznych oraz sadzenia roślinności wysokiej i o rozbudowanym systemie korzeniowym, w tym obowiązuje szerokość pasa wycinki podstawowej drzew na trasie linii zgodnie z przepisami odrębnymi;</w:t>
      </w:r>
    </w:p>
    <w:p w14:paraId="2248E744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przypadku skablowania napowietrznych linii, pasy technologiczne wymienione w pkt 1) nie obowiązują.</w:t>
      </w:r>
    </w:p>
    <w:p w14:paraId="61DCE43B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 xml:space="preserve">Ustala się następujące </w:t>
      </w:r>
      <w:r>
        <w:rPr>
          <w:b/>
          <w:color w:val="000000"/>
          <w:u w:color="000000"/>
        </w:rPr>
        <w:t xml:space="preserve">wymagania wynikające z potrzeb kształtowania przestrzeni publicznych: </w:t>
      </w:r>
      <w:r>
        <w:rPr>
          <w:b/>
          <w:color w:val="000000"/>
          <w:u w:color="000000"/>
        </w:rPr>
        <w:br/>
      </w:r>
      <w:r>
        <w:rPr>
          <w:color w:val="000000"/>
          <w:u w:color="000000"/>
        </w:rPr>
        <w:t>w granicach planu za przestrzeń publiczną uznaje się tereny oznaczone w części graficznej planu miejscowego symbolami U-ZP, US, KDG, KDL oraz KDD, dla których obowiązują zasady ustalone w § 4 pkt 3) i 4) oraz ustaleniach szczegółowych.</w:t>
      </w:r>
    </w:p>
    <w:p w14:paraId="722CA50A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 xml:space="preserve">Ustala się </w:t>
      </w:r>
      <w:r>
        <w:rPr>
          <w:b/>
          <w:color w:val="000000"/>
          <w:u w:color="000000"/>
        </w:rPr>
        <w:t>stawki procentowe</w:t>
      </w:r>
      <w:r>
        <w:rPr>
          <w:color w:val="000000"/>
          <w:u w:color="000000"/>
        </w:rPr>
        <w:t>, na podstawie których nalicza się opłatę, o której mowa w art. 36 ust. 4 ustawy z dnia 27 marca 2003 r. o planowaniu i zagospodarowaniu przestrzennym, w wysokości 30%.</w:t>
      </w:r>
    </w:p>
    <w:p w14:paraId="35C46945" w14:textId="77777777" w:rsidR="00A77B3E" w:rsidRDefault="001A2507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szczegółowe</w:t>
      </w:r>
    </w:p>
    <w:p w14:paraId="4B0740A0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mieszkaniowej jednorodzinnej</w:t>
      </w:r>
      <w:r>
        <w:rPr>
          <w:color w:val="000000"/>
          <w:u w:color="000000"/>
        </w:rPr>
        <w:t>, oznaczonych w </w:t>
      </w:r>
      <w:r>
        <w:rPr>
          <w:color w:val="000000"/>
          <w:u w:color="000000"/>
        </w:rPr>
        <w:t xml:space="preserve">części graficznej planu miejscowego symbolami </w:t>
      </w:r>
      <w:r>
        <w:rPr>
          <w:b/>
          <w:color w:val="000000"/>
          <w:u w:color="000000"/>
        </w:rPr>
        <w:t>1MN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29MN,</w:t>
      </w:r>
      <w:r>
        <w:rPr>
          <w:color w:val="000000"/>
          <w:u w:color="000000"/>
        </w:rPr>
        <w:t xml:space="preserve"> ustala się:</w:t>
      </w:r>
    </w:p>
    <w:p w14:paraId="70471BAE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mieszkaniowej jednorodzinnej;</w:t>
      </w:r>
    </w:p>
    <w:p w14:paraId="72FDCF14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 i 4,</w:t>
      </w:r>
    </w:p>
    <w:p w14:paraId="0DFE2FA0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</w:t>
      </w:r>
    </w:p>
    <w:p w14:paraId="6B75BC4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lub grupowej,</w:t>
      </w:r>
    </w:p>
    <w:p w14:paraId="1EC3ED1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5D6C7A21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wyjątkiem obiektów usług turystyki oraz usług gastronomii;</w:t>
      </w:r>
    </w:p>
    <w:p w14:paraId="259622D9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zasady kształtowania zabudowy oraz wskaźniki zagospodarowania terenu:</w:t>
      </w:r>
    </w:p>
    <w:p w14:paraId="0BC3B707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6E513300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3C1E6E54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767B5292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741BA4D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6390E656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48E15DAA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9 m,</w:t>
      </w:r>
    </w:p>
    <w:p w14:paraId="08D3163B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25089640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8 m dla budynków o dachach płaskich,</w:t>
      </w:r>
    </w:p>
    <w:p w14:paraId="5578CD4C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 m dla budynków o dachach dwuspadowych lub wielospadowych,</w:t>
      </w:r>
    </w:p>
    <w:p w14:paraId="1668B15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</w:t>
      </w:r>
    </w:p>
    <w:p w14:paraId="4968B43E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50D7939A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7946560E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1A60527F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dachówka ceramiczna, cementowa, matowa w kolorze ceglastym czerwonym,</w:t>
      </w:r>
    </w:p>
    <w:p w14:paraId="7C498BE7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2C891ED8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płaskich: dowolne pokrycie dachu,</w:t>
      </w:r>
    </w:p>
    <w:p w14:paraId="23711D1C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4576907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70900DA6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616887E6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0232604B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61A4D9A3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0C3E2B7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h) </w:t>
      </w:r>
      <w:r>
        <w:rPr>
          <w:color w:val="000000"/>
          <w:u w:color="000000"/>
        </w:rPr>
        <w:t>minimalna liczba miejsc do parkowania zgodnie z §10 pkt 10),</w:t>
      </w:r>
    </w:p>
    <w:p w14:paraId="4817531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pkt 1) lit. a),</w:t>
      </w:r>
    </w:p>
    <w:p w14:paraId="41DC97A4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 pkt 1) lit. b),</w:t>
      </w:r>
    </w:p>
    <w:p w14:paraId="46B23E14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dla obiektów ujętych w gminnej i wojewódzkiej ewidencji zabytków obowiązują ustalenia §6 pkt 1) lit. c),</w:t>
      </w:r>
    </w:p>
    <w:p w14:paraId="3F045464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dla terenów znajdujących się w granicach obszarów szczególnego zagrożenia powodzią obowiązują ustalenia §7 pkt 2).</w:t>
      </w:r>
    </w:p>
    <w:p w14:paraId="242652FA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mieszkaniowej jednorodzinnej lub usług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1MN-U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3MN-U,</w:t>
      </w:r>
      <w:r>
        <w:rPr>
          <w:color w:val="000000"/>
          <w:u w:color="000000"/>
        </w:rPr>
        <w:t xml:space="preserve"> ustala się:</w:t>
      </w:r>
    </w:p>
    <w:p w14:paraId="6D4A01B5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4B306222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teren zabudowy mieszkaniowej jednorodzinnej, </w:t>
      </w:r>
      <w:r>
        <w:rPr>
          <w:color w:val="000000"/>
          <w:u w:color="000000"/>
        </w:rPr>
        <w:t>z zastrzeżeniem pkt 3,</w:t>
      </w:r>
    </w:p>
    <w:p w14:paraId="1A31830D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teren usług, </w:t>
      </w:r>
      <w:r>
        <w:rPr>
          <w:color w:val="000000"/>
          <w:u w:color="000000"/>
        </w:rPr>
        <w:t>z zastrzeżeniem pkt 3 i 4;</w:t>
      </w:r>
    </w:p>
    <w:p w14:paraId="787D553F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</w:t>
      </w:r>
    </w:p>
    <w:p w14:paraId="7B3C55A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zabudowy mieszkaniowej jednorodzinnej szeregowej lub grupowej,</w:t>
      </w:r>
    </w:p>
    <w:p w14:paraId="54B007E5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usług handlu wielkopowierzchniowego;</w:t>
      </w:r>
    </w:p>
    <w:p w14:paraId="002BB6A2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zakazuje się lokalizacji obiektów usługowych o powierzchni zabudowy przekraczającej 80m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z wyjątkiem obiektów usług turystyki oraz usług gastronomii;</w:t>
      </w:r>
    </w:p>
    <w:p w14:paraId="280A218C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zasady kształtowania zabudowy oraz wskaźniki zagospodarowania terenu:</w:t>
      </w:r>
    </w:p>
    <w:p w14:paraId="27B5B049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003899C5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166FC55A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58F2DCAC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7808858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79F8B183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54BEE473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3A4F0557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w kolorze ceglastym czerwonym,</w:t>
      </w:r>
    </w:p>
    <w:p w14:paraId="048CB439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24EAAB7A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59C126B5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61F6E137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572AF7A9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266BF1D4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§10 pkt 10),</w:t>
      </w:r>
    </w:p>
    <w:p w14:paraId="162906E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pkt 1) lit. a),</w:t>
      </w:r>
    </w:p>
    <w:p w14:paraId="3EFB21FD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 pkt 1) lit. b).</w:t>
      </w:r>
    </w:p>
    <w:p w14:paraId="4353BEBA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mieszkaniowej wielorodzinnej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1MW, 2MW, </w:t>
      </w:r>
      <w:r>
        <w:rPr>
          <w:color w:val="000000"/>
          <w:u w:color="000000"/>
        </w:rPr>
        <w:t>ustala się:</w:t>
      </w:r>
    </w:p>
    <w:p w14:paraId="7EC8BAE9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mieszkaniowej wielorodzinnej;</w:t>
      </w:r>
    </w:p>
    <w:p w14:paraId="75B77893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1A998A07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0F50F44E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minimalny: 0.0,</w:t>
      </w:r>
    </w:p>
    <w:p w14:paraId="2FB90BEF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690BA11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7E30FF2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38BA1DD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5716A4E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1AC0304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pokrycie dachu: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5A097DF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39317871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39E6647D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56A9D64B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4C8ECEA4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1D9A49CA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ust. 10.</w:t>
      </w:r>
    </w:p>
    <w:p w14:paraId="430D868D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mieszkaniowej wielorodzinnej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3MW, </w:t>
      </w:r>
      <w:r>
        <w:rPr>
          <w:color w:val="000000"/>
          <w:u w:color="000000"/>
        </w:rPr>
        <w:t>ustala się:</w:t>
      </w:r>
    </w:p>
    <w:p w14:paraId="78EFA397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mieszkaniowej wielorodzinnej;</w:t>
      </w:r>
    </w:p>
    <w:p w14:paraId="1C63C5ED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3AACE87E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166009FC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7D6BC4B6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2A6674DA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379D970D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33B8AEF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4F1DA42E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do 15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3F30601D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elewacji:</w:t>
      </w:r>
    </w:p>
    <w:p w14:paraId="3DE4057D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6FB354CA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4DC8B50E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minimalna liczba miejsc do parkowania zgodnie z § 10 ust. 10,</w:t>
      </w:r>
    </w:p>
    <w:p w14:paraId="27D6B4AD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dla obiektu ujętego w gminnej i wojewódzkiej ewidencji zabytków obowiązują ustalenia §6 pkt 1) lit. c).</w:t>
      </w:r>
    </w:p>
    <w:p w14:paraId="72DE1B79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zabudowy mieszkaniowej wielorodzinnej lub usług</w:t>
      </w:r>
      <w:r>
        <w:rPr>
          <w:color w:val="000000"/>
          <w:u w:color="000000"/>
        </w:rPr>
        <w:t xml:space="preserve">, oznaczonych w części graficznej planu miejscowego symbolem </w:t>
      </w:r>
      <w:r>
        <w:rPr>
          <w:b/>
          <w:color w:val="000000"/>
          <w:u w:color="000000"/>
        </w:rPr>
        <w:t xml:space="preserve">1MW-U, 2MW-U, </w:t>
      </w:r>
      <w:r>
        <w:rPr>
          <w:color w:val="000000"/>
          <w:u w:color="000000"/>
        </w:rPr>
        <w:t>ustala się:</w:t>
      </w:r>
    </w:p>
    <w:p w14:paraId="4DD0EDDD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przeznaczenie:</w:t>
      </w:r>
    </w:p>
    <w:p w14:paraId="63420954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teren zabudowy mieszkaniowej wielorodzinnej</w:t>
      </w:r>
      <w:r>
        <w:rPr>
          <w:color w:val="000000"/>
          <w:u w:color="000000"/>
        </w:rPr>
        <w:t>,</w:t>
      </w:r>
    </w:p>
    <w:p w14:paraId="776CD7BE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teren usług, </w:t>
      </w:r>
      <w:r>
        <w:rPr>
          <w:color w:val="000000"/>
          <w:u w:color="000000"/>
        </w:rPr>
        <w:t>z zastrzeżeniem pkt 2;</w:t>
      </w:r>
    </w:p>
    <w:p w14:paraId="259D9A5F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 teren usług handlu wielkopowierzchniowego;</w:t>
      </w:r>
    </w:p>
    <w:p w14:paraId="2A37FC37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40D38B5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0E948B41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73AEF482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maksymalny: 0.65,</w:t>
      </w:r>
    </w:p>
    <w:p w14:paraId="19E70C66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0.55,</w:t>
      </w:r>
    </w:p>
    <w:p w14:paraId="4FD3718E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0.10,</w:t>
      </w:r>
    </w:p>
    <w:p w14:paraId="7DB83FE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10 m,</w:t>
      </w:r>
    </w:p>
    <w:p w14:paraId="20779F24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</w:t>
      </w:r>
      <w:r>
        <w:rPr>
          <w:color w:val="000000"/>
          <w:u w:color="000000"/>
        </w:rPr>
        <w:t>jednakowym kącie nachylenia połaci 40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2820DA0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w kolorze ceglastym czerwonym,</w:t>
      </w:r>
    </w:p>
    <w:p w14:paraId="0F5A2AD9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112A7F8E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266C3152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1FACDC40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458A4556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6492D606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ust. 10,</w:t>
      </w:r>
    </w:p>
    <w:p w14:paraId="70297F97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ust. 1 pkt 1) lit. a).</w:t>
      </w:r>
    </w:p>
    <w:p w14:paraId="0310B4C7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mieszkaniowej wielorodzinnej lub usług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3MW-U, </w:t>
      </w:r>
      <w:r>
        <w:rPr>
          <w:color w:val="000000"/>
          <w:u w:color="000000"/>
        </w:rPr>
        <w:t>ustala się:</w:t>
      </w:r>
    </w:p>
    <w:p w14:paraId="32F3DF94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 podstawowe:</w:t>
      </w:r>
    </w:p>
    <w:p w14:paraId="50D50DD4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teren zabudowy mieszkaniowej wielorodzinnej</w:t>
      </w:r>
      <w:r>
        <w:rPr>
          <w:color w:val="000000"/>
          <w:u w:color="000000"/>
        </w:rPr>
        <w:t>,</w:t>
      </w:r>
    </w:p>
    <w:p w14:paraId="18805F6D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 xml:space="preserve">teren usług, </w:t>
      </w:r>
      <w:r>
        <w:rPr>
          <w:color w:val="000000"/>
          <w:u w:color="000000"/>
        </w:rPr>
        <w:t>z zastrzeżeniem pkt 2;</w:t>
      </w:r>
    </w:p>
    <w:p w14:paraId="0FD9912C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 teren usług handlu wielkopowierzchniowego;</w:t>
      </w:r>
    </w:p>
    <w:p w14:paraId="28A2FDC8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0FEEAF5C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52CA1DC2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2EE4844D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0FB45C3C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1543309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0.1,</w:t>
      </w:r>
    </w:p>
    <w:p w14:paraId="4DAC76BC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10 m,</w:t>
      </w:r>
    </w:p>
    <w:p w14:paraId="6C53EEA0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płaskie o kącie nachylenie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o jednakowym kącie nachylenia połaci 40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6AF65247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elewacji:</w:t>
      </w:r>
    </w:p>
    <w:p w14:paraId="06BF6C33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78A6A47C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2C011F96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42257EC1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337C93F9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minimalna liczba miejsc do parkowania zgodnie z § 10 ust. 10,</w:t>
      </w:r>
    </w:p>
    <w:p w14:paraId="4D457379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dla terenu objętego strefą „B” ochrony konserwatorskiej obowiązują ustalenia §6 ust. 1 pkt 1) lit. a).</w:t>
      </w:r>
    </w:p>
    <w:p w14:paraId="7C6BD5C0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mieszkaniowej wielorodzinnej lub usług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4MW-U, </w:t>
      </w:r>
      <w:r>
        <w:rPr>
          <w:color w:val="000000"/>
          <w:u w:color="000000"/>
        </w:rPr>
        <w:t>ustala się:</w:t>
      </w:r>
    </w:p>
    <w:p w14:paraId="4FF41D10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 podstawowe:</w:t>
      </w:r>
    </w:p>
    <w:p w14:paraId="630BC175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>teren zabudowy mieszkaniowej wielorodzinnej</w:t>
      </w:r>
      <w:r>
        <w:rPr>
          <w:color w:val="000000"/>
          <w:u w:color="000000"/>
        </w:rPr>
        <w:t>,</w:t>
      </w:r>
    </w:p>
    <w:p w14:paraId="55098CC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b/>
          <w:color w:val="000000"/>
          <w:u w:color="000000"/>
        </w:rPr>
        <w:t xml:space="preserve">teren usług, </w:t>
      </w:r>
      <w:r>
        <w:rPr>
          <w:color w:val="000000"/>
          <w:u w:color="000000"/>
        </w:rPr>
        <w:t>z zastrzeżeniem pkt 2;</w:t>
      </w:r>
    </w:p>
    <w:p w14:paraId="6A69AD7D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 teren usług handlu wielkopowierzchniowego;</w:t>
      </w:r>
    </w:p>
    <w:p w14:paraId="73318B65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4EBD8C9D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58C844AA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15FF219A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77B8BD60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0546011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0.3,</w:t>
      </w:r>
    </w:p>
    <w:p w14:paraId="69A39FF2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10 m,</w:t>
      </w:r>
    </w:p>
    <w:p w14:paraId="453BFEA6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płaskie o kącie nachylenie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o jednakowym kącie nachylenia połaci 40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29A50A30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elewacji:</w:t>
      </w:r>
    </w:p>
    <w:p w14:paraId="3B848BC9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66F36845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22F41F7F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0A690B5B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7AE548B8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minimalna liczba miejsc do parkowania zgodnie z § 10 ust. 10,</w:t>
      </w:r>
    </w:p>
    <w:p w14:paraId="4923B08E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dla terenu objętego strefą „B” ochrony konserwatorskiej obowiązują ustalenia §6 ust. 1 pkt 1) lit. a).</w:t>
      </w:r>
    </w:p>
    <w:p w14:paraId="79391F35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usług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1U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4U,</w:t>
      </w:r>
      <w:r>
        <w:rPr>
          <w:color w:val="000000"/>
          <w:u w:color="000000"/>
        </w:rPr>
        <w:t xml:space="preserve"> ustala się:</w:t>
      </w:r>
    </w:p>
    <w:p w14:paraId="1F6F3C7A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2,</w:t>
      </w:r>
    </w:p>
    <w:p w14:paraId="096FD07E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 teren usług handlu wielkopowierzchniowego;</w:t>
      </w:r>
    </w:p>
    <w:p w14:paraId="219E1FC8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4A36035D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152BDA1C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4E5B170C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17900E04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0C765D17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0.25,</w:t>
      </w:r>
    </w:p>
    <w:p w14:paraId="33DDE039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</w:t>
      </w:r>
    </w:p>
    <w:p w14:paraId="61EFAC44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9 m,</w:t>
      </w:r>
    </w:p>
    <w:p w14:paraId="42B0AA6F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0E873639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8 m dla budynków o dachach płaskich,</w:t>
      </w:r>
    </w:p>
    <w:p w14:paraId="7437F0A3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10 m dla budynków o dachach dwuspadowych lub wielospadowych,</w:t>
      </w:r>
    </w:p>
    <w:p w14:paraId="2117857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</w:t>
      </w:r>
    </w:p>
    <w:p w14:paraId="1E670D01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strefie „B” oraz „K” ochrony konserwatorskiej: dachy dwuspadowe o 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726AA7BE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 dachy płaskie o kącie nachylenia połaci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</w:t>
      </w:r>
    </w:p>
    <w:p w14:paraId="00B20FB3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</w:t>
      </w:r>
    </w:p>
    <w:p w14:paraId="4A10FA41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w strefie „B” oraz „K” ochrony konserwatorskiej: dachówka ceramiczna, cementowa, matowa w kolorze ceglastym czerwonym,</w:t>
      </w:r>
    </w:p>
    <w:p w14:paraId="085D5A3F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poza strefami ochrony konserwatorskiej:</w:t>
      </w:r>
    </w:p>
    <w:p w14:paraId="005BDE89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>dla dachów płaskich: dowolne pokrycie dachu,</w:t>
      </w:r>
    </w:p>
    <w:p w14:paraId="5F74D15C" w14:textId="77777777" w:rsidR="00A77B3E" w:rsidRDefault="001A2507">
      <w:pPr>
        <w:keepLines/>
        <w:spacing w:before="120" w:after="120"/>
        <w:ind w:left="1020" w:hanging="198"/>
        <w:rPr>
          <w:color w:val="000000"/>
          <w:u w:color="000000"/>
        </w:rPr>
      </w:pPr>
      <w:r>
        <w:t>-- </w:t>
      </w:r>
      <w:r>
        <w:rPr>
          <w:color w:val="000000"/>
          <w:u w:color="000000"/>
        </w:rPr>
        <w:t xml:space="preserve">dla dachów dwuspadowych lub wielospadowych: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1F909AF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099647E8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65515603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7C5D9CE9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2E597F19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3A6D9DA7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ust. 10,</w:t>
      </w:r>
    </w:p>
    <w:p w14:paraId="1A45D2A8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„B” ochrony konserwatorskiej obowiązują ustalenia §6 ust. 1 pkt 1) lit. a),</w:t>
      </w:r>
    </w:p>
    <w:p w14:paraId="03AF3959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terenów objętych strefą „K” ochrony konserwatorskiej obowiązują ustalenia §6 ust. 1 pkt 1) lit. b),</w:t>
      </w:r>
    </w:p>
    <w:p w14:paraId="7437B54A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dla obiektów ujętych w gminnej ewidencji zabytków obowiązują ustalenia §6 ust. 1 pkt 1) lit. c).</w:t>
      </w:r>
    </w:p>
    <w:p w14:paraId="1832CD4C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usług lub zieleni urządzonej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>1U-ZP, 2U-ZP,</w:t>
      </w:r>
      <w:r>
        <w:rPr>
          <w:color w:val="000000"/>
          <w:u w:color="000000"/>
        </w:rPr>
        <w:t xml:space="preserve"> ustala się:</w:t>
      </w:r>
    </w:p>
    <w:p w14:paraId="6FFAA85C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 :</w:t>
      </w:r>
    </w:p>
    <w:p w14:paraId="7E19C3C2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b/>
          <w:color w:val="000000"/>
          <w:u w:color="000000"/>
        </w:rPr>
        <w:t xml:space="preserve">teren usług, </w:t>
      </w:r>
      <w:r>
        <w:rPr>
          <w:color w:val="000000"/>
          <w:u w:color="000000"/>
        </w:rPr>
        <w:t>z zastrzeżeniem pkt 2,</w:t>
      </w:r>
    </w:p>
    <w:p w14:paraId="3D77F0D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b/>
          <w:color w:val="000000"/>
          <w:u w:color="000000"/>
        </w:rPr>
        <w:t>teren zieleni urządzonej;</w:t>
      </w:r>
    </w:p>
    <w:p w14:paraId="3D607D8B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 teren usług handlu wielkopowierzchniowego;</w:t>
      </w:r>
    </w:p>
    <w:p w14:paraId="39BD11DE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2563395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6A9C2B60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0439017B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0.5,</w:t>
      </w:r>
    </w:p>
    <w:p w14:paraId="19FA8BFA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0.3,</w:t>
      </w:r>
    </w:p>
    <w:p w14:paraId="3BD8A374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0.6,</w:t>
      </w:r>
    </w:p>
    <w:p w14:paraId="0103645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10m,</w:t>
      </w:r>
    </w:p>
    <w:p w14:paraId="7A2E5212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i 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5E0F7A45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pokrycie dachu: 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</w:t>
      </w:r>
    </w:p>
    <w:p w14:paraId="12D2868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317EC9BF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680E77C8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0E1613DE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0004E7D2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573E114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ust. 10,</w:t>
      </w:r>
    </w:p>
    <w:p w14:paraId="032A5852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terenów objętych strefą „K” ochrony konserwatorskiej obowiązują ustalenia §6 ust. 1 pkt 1) lit. b),</w:t>
      </w:r>
    </w:p>
    <w:p w14:paraId="0A8AFC9D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j) </w:t>
      </w:r>
      <w:r>
        <w:rPr>
          <w:color w:val="000000"/>
          <w:u w:color="000000"/>
        </w:rPr>
        <w:t>dla części terenu 2U-ZP znajdującego się w granicach obszarów szczególnego zagrożenia powodzią obowiązują ustalenia §7 pkt 2).</w:t>
      </w:r>
    </w:p>
    <w:p w14:paraId="1109B6B5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usług sportu i rekreacji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1US,</w:t>
      </w:r>
      <w:r>
        <w:rPr>
          <w:color w:val="000000"/>
          <w:u w:color="000000"/>
        </w:rPr>
        <w:t xml:space="preserve"> ustala się:</w:t>
      </w:r>
    </w:p>
    <w:p w14:paraId="3CB2F38B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usług sportu i rekreacji;</w:t>
      </w:r>
    </w:p>
    <w:p w14:paraId="3835F61F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przeznaczenie uzupełniające: </w:t>
      </w:r>
      <w:r>
        <w:rPr>
          <w:b/>
          <w:color w:val="000000"/>
          <w:u w:color="000000"/>
        </w:rPr>
        <w:t>teren usług</w:t>
      </w:r>
      <w:r>
        <w:rPr>
          <w:color w:val="000000"/>
          <w:u w:color="000000"/>
        </w:rPr>
        <w:t>, z zastrzeżeniem pkt 3;</w:t>
      </w:r>
    </w:p>
    <w:p w14:paraId="092FE486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przeznaczenie wykluczane: teren usług handlu wielkopowierzchniowego;</w:t>
      </w:r>
    </w:p>
    <w:p w14:paraId="0D5E9351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zasady kształtowania zabudowy oraz wskaźniki zagospodarowania terenu:</w:t>
      </w:r>
    </w:p>
    <w:p w14:paraId="00464B78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23C9E12F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12D09076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0.5,</w:t>
      </w:r>
    </w:p>
    <w:p w14:paraId="6642AC32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0.5,</w:t>
      </w:r>
    </w:p>
    <w:p w14:paraId="26D4F63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0.5,</w:t>
      </w:r>
    </w:p>
    <w:p w14:paraId="52F7A0E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9 m,</w:t>
      </w:r>
    </w:p>
    <w:p w14:paraId="00E5C6B2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0A04544A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 xml:space="preserve">dachówka ceramiczna, cementowa, matowa lub materiał </w:t>
      </w:r>
      <w:proofErr w:type="spellStart"/>
      <w:r>
        <w:rPr>
          <w:color w:val="000000"/>
          <w:u w:color="000000"/>
        </w:rPr>
        <w:t>dachówkopodobny</w:t>
      </w:r>
      <w:proofErr w:type="spellEnd"/>
      <w:r>
        <w:rPr>
          <w:color w:val="000000"/>
          <w:u w:color="000000"/>
        </w:rPr>
        <w:t xml:space="preserve"> matowy w kolorze ceglastym czerwonym, brązowym, grafitowym, antracytowym,</w:t>
      </w:r>
    </w:p>
    <w:p w14:paraId="63224225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345071AD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0D25CF1F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7E87807F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2F5976BB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162CC1AC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ust. 10.</w:t>
      </w:r>
    </w:p>
    <w:p w14:paraId="4E0E9FE0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 produkcji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1P,   </w:t>
      </w:r>
      <w:r>
        <w:rPr>
          <w:color w:val="000000"/>
          <w:u w:color="000000"/>
        </w:rPr>
        <w:t>ustala się:</w:t>
      </w:r>
    </w:p>
    <w:p w14:paraId="22183DA7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produkcji</w:t>
      </w:r>
      <w:r>
        <w:rPr>
          <w:color w:val="000000"/>
          <w:u w:color="000000"/>
        </w:rPr>
        <w:t>, z zastrzeżeniem pkt 2;</w:t>
      </w:r>
    </w:p>
    <w:p w14:paraId="1701EB04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przeznaczenie wykluczane:</w:t>
      </w:r>
    </w:p>
    <w:p w14:paraId="3FA1A689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produkcji energii,</w:t>
      </w:r>
    </w:p>
    <w:p w14:paraId="377EA472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teren przemysłu portowego;</w:t>
      </w:r>
    </w:p>
    <w:p w14:paraId="1077789E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zasady kształtowania zabudowy oraz wskaźniki zagospodarowania terenu:</w:t>
      </w:r>
    </w:p>
    <w:p w14:paraId="525AF8A6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0701DB70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6D4C1713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1B1E275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0.6,</w:t>
      </w:r>
    </w:p>
    <w:p w14:paraId="6ED9178A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0.3,</w:t>
      </w:r>
    </w:p>
    <w:p w14:paraId="1968F389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18 m,</w:t>
      </w:r>
    </w:p>
    <w:p w14:paraId="6A537F8C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płaskie o kącie nachylenie do 10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, dachy dwuspadowe o </w:t>
      </w:r>
      <w:r>
        <w:rPr>
          <w:color w:val="000000"/>
          <w:u w:color="000000"/>
        </w:rPr>
        <w:t>jednakowym kącie nachylenia połaci 25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20510137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minimalna liczba miejsc do parkowania zgodnie z § 10 ust. 10.</w:t>
      </w:r>
    </w:p>
    <w:p w14:paraId="5EA86F46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12. 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drogi głównej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1KDG,  </w:t>
      </w:r>
      <w:r>
        <w:rPr>
          <w:color w:val="000000"/>
          <w:u w:color="000000"/>
        </w:rPr>
        <w:t>ustala się:</w:t>
      </w:r>
    </w:p>
    <w:p w14:paraId="7EC1B787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głównej</w:t>
      </w:r>
      <w:r>
        <w:rPr>
          <w:color w:val="000000"/>
          <w:u w:color="000000"/>
        </w:rPr>
        <w:t>;</w:t>
      </w:r>
    </w:p>
    <w:p w14:paraId="68AAB3D8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77C264C5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drogi lokalnej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 xml:space="preserve">1KDL,  </w:t>
      </w:r>
      <w:r>
        <w:rPr>
          <w:color w:val="000000"/>
          <w:u w:color="000000"/>
        </w:rPr>
        <w:t>ustala się:</w:t>
      </w:r>
    </w:p>
    <w:p w14:paraId="77A0CAB4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lokalnej</w:t>
      </w:r>
      <w:r>
        <w:rPr>
          <w:color w:val="000000"/>
          <w:u w:color="000000"/>
        </w:rPr>
        <w:t>;</w:t>
      </w:r>
    </w:p>
    <w:p w14:paraId="6E8D6661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419D9558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drogi dojazdowej</w:t>
      </w:r>
      <w:r>
        <w:rPr>
          <w:color w:val="000000"/>
          <w:u w:color="000000"/>
        </w:rPr>
        <w:t>, oznaczonych w części graficznej planu miejscowego symbolami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1KDD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5KDD</w:t>
      </w:r>
      <w:r>
        <w:rPr>
          <w:color w:val="000000"/>
          <w:u w:color="000000"/>
        </w:rPr>
        <w:t xml:space="preserve">  ustala się:</w:t>
      </w:r>
    </w:p>
    <w:p w14:paraId="55771F6B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drogi dojazdowej;</w:t>
      </w:r>
    </w:p>
    <w:p w14:paraId="55FD2C87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6CA21D05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komunikacji drogowej wewnętrznej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 xml:space="preserve">1KR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13KR</w:t>
      </w:r>
      <w:r>
        <w:rPr>
          <w:color w:val="000000"/>
          <w:u w:color="000000"/>
        </w:rPr>
        <w:t xml:space="preserve"> ustala się:</w:t>
      </w:r>
    </w:p>
    <w:p w14:paraId="22402AD3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 podstawowe: </w:t>
      </w:r>
      <w:r>
        <w:rPr>
          <w:b/>
          <w:color w:val="000000"/>
          <w:u w:color="000000"/>
        </w:rPr>
        <w:t>teren komunikacji drogowej wewnętrznej</w:t>
      </w:r>
      <w:r>
        <w:rPr>
          <w:color w:val="000000"/>
          <w:u w:color="000000"/>
        </w:rPr>
        <w:t>;</w:t>
      </w:r>
    </w:p>
    <w:p w14:paraId="12B7AA9C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drogi w liniach rozgraniczających zgodnie z częścią graficzną planu miejscowego.</w:t>
      </w:r>
    </w:p>
    <w:p w14:paraId="2B18E0DD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16. 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elektroenergetyki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>1IE, 2IE</w:t>
      </w:r>
      <w:r>
        <w:rPr>
          <w:color w:val="000000"/>
          <w:u w:color="000000"/>
        </w:rPr>
        <w:t>, ustala się:</w:t>
      </w:r>
    </w:p>
    <w:p w14:paraId="74774EFB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elektroenergetyki</w:t>
      </w:r>
      <w:r>
        <w:rPr>
          <w:color w:val="000000"/>
          <w:u w:color="000000"/>
        </w:rPr>
        <w:t>;</w:t>
      </w:r>
    </w:p>
    <w:p w14:paraId="201DE514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35E9E757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695CBB7C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25917DCF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0,8,</w:t>
      </w:r>
    </w:p>
    <w:p w14:paraId="5994280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0.8,</w:t>
      </w:r>
    </w:p>
    <w:p w14:paraId="23D11087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0.1,</w:t>
      </w:r>
    </w:p>
    <w:p w14:paraId="2673DF6A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12 m,</w:t>
      </w:r>
    </w:p>
    <w:p w14:paraId="464EAD37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lub wielospadowe o jednakowym kącie nachylenia połaci 30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.</w:t>
      </w:r>
    </w:p>
    <w:p w14:paraId="5357EA4D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17. 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pompowni ścieków</w:t>
      </w:r>
      <w:r>
        <w:rPr>
          <w:color w:val="000000"/>
          <w:u w:color="000000"/>
        </w:rPr>
        <w:t xml:space="preserve">, oznaczonych w części graficznej planu miejscowego symbolami </w:t>
      </w:r>
      <w:r>
        <w:rPr>
          <w:b/>
          <w:color w:val="000000"/>
          <w:u w:color="000000"/>
        </w:rPr>
        <w:t>1IKP, 2IKP</w:t>
      </w:r>
      <w:r>
        <w:rPr>
          <w:color w:val="000000"/>
          <w:u w:color="000000"/>
        </w:rPr>
        <w:t>, ustala się:</w:t>
      </w:r>
    </w:p>
    <w:p w14:paraId="6EC46536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pompowni ścieków</w:t>
      </w:r>
      <w:r>
        <w:rPr>
          <w:color w:val="000000"/>
          <w:u w:color="000000"/>
        </w:rPr>
        <w:t>;</w:t>
      </w:r>
    </w:p>
    <w:p w14:paraId="7F6BAF44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612FBE36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7FA0F6DA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5D2B1635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0,8,</w:t>
      </w:r>
    </w:p>
    <w:p w14:paraId="58FFE9C3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0.8,</w:t>
      </w:r>
    </w:p>
    <w:p w14:paraId="6CB7B70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0.2,</w:t>
      </w:r>
    </w:p>
    <w:p w14:paraId="5EF4810C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6 m.</w:t>
      </w:r>
    </w:p>
    <w:p w14:paraId="6507818C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18. 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związanej z rolnictwem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1RZ,</w:t>
      </w:r>
      <w:r>
        <w:rPr>
          <w:color w:val="000000"/>
          <w:u w:color="000000"/>
        </w:rPr>
        <w:t xml:space="preserve"> ustala się:</w:t>
      </w:r>
    </w:p>
    <w:p w14:paraId="6C01D00B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związanej z rolnictwem</w:t>
      </w:r>
      <w:r>
        <w:rPr>
          <w:color w:val="000000"/>
          <w:u w:color="000000"/>
        </w:rPr>
        <w:t>;</w:t>
      </w:r>
    </w:p>
    <w:p w14:paraId="1C971D53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6C4CBF35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57504E16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3ED08952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6130D4C5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0.4,</w:t>
      </w:r>
    </w:p>
    <w:p w14:paraId="295F7C6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0.3,</w:t>
      </w:r>
    </w:p>
    <w:p w14:paraId="4F357342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10 m,</w:t>
      </w:r>
    </w:p>
    <w:p w14:paraId="50938903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jednakowym kącie nachylenia połaci 40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46FC105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w kolorze ceglastym czerwonym,</w:t>
      </w:r>
    </w:p>
    <w:p w14:paraId="4F0C4BD9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25C6A70A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</w:t>
      </w:r>
      <w:r>
        <w:rPr>
          <w:color w:val="000000"/>
          <w:u w:color="000000"/>
        </w:rPr>
        <w:t>kolorach pastelowych zgaszonych w odcieniach bieli, beżu lub szarości,</w:t>
      </w:r>
    </w:p>
    <w:p w14:paraId="5102F0FD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78E40940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5F43D94E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48F46552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ust. 10,</w:t>
      </w:r>
    </w:p>
    <w:p w14:paraId="62DFC86A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terenu objętego strefą „B” ochrony konserwatorskiej obowiązują ustalenia §6 ust. 1 pkt 1) lit. a),</w:t>
      </w:r>
    </w:p>
    <w:p w14:paraId="3E186B3E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dla obiektu ujętego w gminnej ewidencji zabytków obowiązują ustalenia §6 ust. 1 pkt 1) lit. c).</w:t>
      </w:r>
    </w:p>
    <w:p w14:paraId="49D6F01B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19. 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terenu zabudowy zagrodowej</w:t>
      </w:r>
      <w:r>
        <w:rPr>
          <w:color w:val="000000"/>
          <w:u w:color="000000"/>
        </w:rPr>
        <w:t xml:space="preserve">, oznaczonego w części graficznej planu miejscowego symbolem </w:t>
      </w:r>
      <w:r>
        <w:rPr>
          <w:b/>
          <w:color w:val="000000"/>
          <w:u w:color="000000"/>
        </w:rPr>
        <w:t>1RZM,</w:t>
      </w:r>
      <w:r>
        <w:rPr>
          <w:color w:val="000000"/>
          <w:u w:color="000000"/>
        </w:rPr>
        <w:t xml:space="preserve"> ustala się:</w:t>
      </w:r>
    </w:p>
    <w:p w14:paraId="55C619B1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zabudowy zagrodowej</w:t>
      </w:r>
      <w:r>
        <w:rPr>
          <w:color w:val="000000"/>
          <w:u w:color="000000"/>
        </w:rPr>
        <w:t>;</w:t>
      </w:r>
    </w:p>
    <w:p w14:paraId="2BD48BFF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140B704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15E042CB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576F3325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0.65,</w:t>
      </w:r>
    </w:p>
    <w:p w14:paraId="600A04A1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0,4,</w:t>
      </w:r>
    </w:p>
    <w:p w14:paraId="7B608DCB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0,3,</w:t>
      </w:r>
    </w:p>
    <w:p w14:paraId="422CA7DF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10 m,</w:t>
      </w:r>
    </w:p>
    <w:p w14:paraId="4630EB0E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geometria dachu: dachy dwuspadowe o </w:t>
      </w:r>
      <w:r>
        <w:rPr>
          <w:color w:val="000000"/>
          <w:u w:color="000000"/>
        </w:rPr>
        <w:t>jednakowym kącie nachylenia połaci 38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>–45</w:t>
      </w:r>
      <w:r>
        <w:rPr>
          <w:color w:val="000000"/>
          <w:u w:color="000000"/>
          <w:vertAlign w:val="superscript"/>
        </w:rPr>
        <w:t>o</w:t>
      </w:r>
      <w:r>
        <w:rPr>
          <w:color w:val="000000"/>
          <w:u w:color="000000"/>
        </w:rPr>
        <w:t xml:space="preserve">, </w:t>
      </w:r>
    </w:p>
    <w:p w14:paraId="5DB65824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pokrycie dachu: dachówka ceramiczna, cementowa, matowa w kolorze ceglastym czerwonym,</w:t>
      </w:r>
    </w:p>
    <w:p w14:paraId="37605809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pokrycie elewacji:</w:t>
      </w:r>
    </w:p>
    <w:p w14:paraId="061E2DE2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tynk w kolorach pastelowych zgaszonych w odcieniach bieli, beżu lub szarości,</w:t>
      </w:r>
    </w:p>
    <w:p w14:paraId="4ED2FE0F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cegła,</w:t>
      </w:r>
    </w:p>
    <w:p w14:paraId="0F695FD1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kamień,</w:t>
      </w:r>
    </w:p>
    <w:p w14:paraId="588D8AA6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drewno (z wykluczeniem nieotynkowanych bali drewnianych),</w:t>
      </w:r>
    </w:p>
    <w:p w14:paraId="490CE536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minimalna liczba miejsc do parkowania zgodnie z § 10 ust. 10,</w:t>
      </w:r>
    </w:p>
    <w:p w14:paraId="0EC21978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dla terenu objętego strefą „K” ochrony konserwatorskiej obowiązują ustalenia §6 ust. 1 pkt 1) lit. b).</w:t>
      </w:r>
    </w:p>
    <w:p w14:paraId="4757C3B2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t>20. 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>terenów wód powierzchniowych śródlądowych,</w:t>
      </w:r>
      <w:r>
        <w:rPr>
          <w:color w:val="000000"/>
          <w:u w:color="000000"/>
        </w:rPr>
        <w:t xml:space="preserve"> oznaczonych w części graficznej planu miejscowego symbolami </w:t>
      </w:r>
      <w:r>
        <w:rPr>
          <w:b/>
          <w:color w:val="000000"/>
          <w:u w:color="000000"/>
        </w:rPr>
        <w:t xml:space="preserve">1WS </w:t>
      </w:r>
      <w:r>
        <w:rPr>
          <w:color w:val="000000"/>
          <w:u w:color="000000"/>
        </w:rPr>
        <w:t xml:space="preserve">– </w:t>
      </w:r>
      <w:r>
        <w:rPr>
          <w:b/>
          <w:color w:val="000000"/>
          <w:u w:color="000000"/>
        </w:rPr>
        <w:t>3WS,</w:t>
      </w:r>
      <w:r>
        <w:rPr>
          <w:color w:val="000000"/>
          <w:u w:color="000000"/>
        </w:rPr>
        <w:t xml:space="preserve"> ustala się przeznaczenie: </w:t>
      </w:r>
      <w:r>
        <w:rPr>
          <w:b/>
          <w:color w:val="000000"/>
          <w:u w:color="000000"/>
        </w:rPr>
        <w:t>teren wód powierzchniowych śródlądowych.</w:t>
      </w:r>
    </w:p>
    <w:p w14:paraId="0CFB58DC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21. </w:t>
      </w:r>
      <w:r>
        <w:rPr>
          <w:color w:val="000000"/>
          <w:u w:color="000000"/>
        </w:rPr>
        <w:t xml:space="preserve">Dla </w:t>
      </w:r>
      <w:r>
        <w:rPr>
          <w:b/>
          <w:color w:val="000000"/>
          <w:u w:color="000000"/>
        </w:rPr>
        <w:t xml:space="preserve">terenów zieleni urządzonej </w:t>
      </w:r>
      <w:r>
        <w:rPr>
          <w:color w:val="000000"/>
          <w:u w:color="000000"/>
        </w:rPr>
        <w:t xml:space="preserve">oznaczonych w części graficznej planu miejscowego symbolami </w:t>
      </w:r>
      <w:r>
        <w:rPr>
          <w:b/>
          <w:color w:val="000000"/>
          <w:u w:color="000000"/>
        </w:rPr>
        <w:t xml:space="preserve">1ZP </w:t>
      </w:r>
      <w:r>
        <w:rPr>
          <w:color w:val="000000"/>
          <w:u w:color="000000"/>
        </w:rPr>
        <w:t xml:space="preserve">–  </w:t>
      </w:r>
      <w:r>
        <w:rPr>
          <w:b/>
          <w:color w:val="000000"/>
          <w:u w:color="000000"/>
        </w:rPr>
        <w:t xml:space="preserve">3ZP, </w:t>
      </w:r>
      <w:r>
        <w:rPr>
          <w:color w:val="000000"/>
          <w:u w:color="000000"/>
        </w:rPr>
        <w:t>ustala się:</w:t>
      </w:r>
    </w:p>
    <w:p w14:paraId="218CB78E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przeznaczenie: </w:t>
      </w:r>
      <w:r>
        <w:rPr>
          <w:b/>
          <w:color w:val="000000"/>
          <w:u w:color="000000"/>
        </w:rPr>
        <w:t>teren zieleni urządzonej</w:t>
      </w:r>
      <w:r>
        <w:rPr>
          <w:color w:val="000000"/>
          <w:u w:color="000000"/>
        </w:rPr>
        <w:t>;</w:t>
      </w:r>
    </w:p>
    <w:p w14:paraId="2E6A8EF0" w14:textId="77777777" w:rsidR="00A77B3E" w:rsidRDefault="001A250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zasady kształtowania zabudowy oraz wskaźniki zagospodarowania terenu:</w:t>
      </w:r>
    </w:p>
    <w:p w14:paraId="48FA6A8C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wskaźnik nadziemnej intensywności zabudowy:</w:t>
      </w:r>
    </w:p>
    <w:p w14:paraId="49D66323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minimalny: 0.0,</w:t>
      </w:r>
    </w:p>
    <w:p w14:paraId="40A60D3B" w14:textId="77777777" w:rsidR="00A77B3E" w:rsidRDefault="001A2507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maksymalny: 0.3,</w:t>
      </w:r>
    </w:p>
    <w:p w14:paraId="3D567044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maksymalny udział powierzchni zabudowy: 0.1,</w:t>
      </w:r>
    </w:p>
    <w:p w14:paraId="381DC6C2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minimalny udział powierzchni biologicznie czynnej: 0.8,</w:t>
      </w:r>
    </w:p>
    <w:p w14:paraId="695EC316" w14:textId="77777777" w:rsidR="00A77B3E" w:rsidRDefault="001A2507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maksymalna wysokość zabudowy: 6 m.</w:t>
      </w:r>
    </w:p>
    <w:p w14:paraId="736F0F30" w14:textId="77777777" w:rsidR="00A77B3E" w:rsidRDefault="001A2507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14:paraId="06A6895F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Wykonanie uchwały powierza się Burmistrzowi Gminy Żmigród.</w:t>
      </w:r>
    </w:p>
    <w:p w14:paraId="3DF0A866" w14:textId="77777777" w:rsidR="00A77B3E" w:rsidRDefault="001A2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Uchwała wchodzi w życie po upływie 14 dni od dnia ogłoszenia w Dzienniku Urzędowym Województwa Dolnośląskiego.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82755" w14:textId="77777777" w:rsidR="001A2507" w:rsidRDefault="001A2507">
      <w:r>
        <w:separator/>
      </w:r>
    </w:p>
  </w:endnote>
  <w:endnote w:type="continuationSeparator" w:id="0">
    <w:p w14:paraId="62A07000" w14:textId="77777777" w:rsidR="001A2507" w:rsidRDefault="001A2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E3B34" w14:paraId="69164978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015877C" w14:textId="4E8A9A48" w:rsidR="007E3B34" w:rsidRDefault="001539DC">
          <w:pPr>
            <w:jc w:val="left"/>
            <w:rPr>
              <w:sz w:val="18"/>
            </w:rPr>
          </w:pPr>
          <w:r>
            <w:rPr>
              <w:sz w:val="18"/>
            </w:rPr>
            <w:t xml:space="preserve"> 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4FB55C4" w14:textId="77777777" w:rsidR="007E3B34" w:rsidRDefault="001A250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539D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70D77CF" w14:textId="77777777" w:rsidR="007E3B34" w:rsidRDefault="007E3B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04D69" w14:textId="77777777" w:rsidR="001A2507" w:rsidRDefault="001A2507">
      <w:r>
        <w:separator/>
      </w:r>
    </w:p>
  </w:footnote>
  <w:footnote w:type="continuationSeparator" w:id="0">
    <w:p w14:paraId="0703AAB5" w14:textId="77777777" w:rsidR="001A2507" w:rsidRDefault="001A25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1E4C"/>
    <w:rsid w:val="001539DC"/>
    <w:rsid w:val="001A2507"/>
    <w:rsid w:val="007E3B34"/>
    <w:rsid w:val="00A77B3E"/>
    <w:rsid w:val="00CA2A55"/>
    <w:rsid w:val="00F5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4A74D5"/>
  <w15:docId w15:val="{9BBB052F-B795-44D1-AFF4-619D256D6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539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539DC"/>
    <w:rPr>
      <w:sz w:val="22"/>
      <w:szCs w:val="24"/>
    </w:rPr>
  </w:style>
  <w:style w:type="paragraph" w:styleId="Stopka">
    <w:name w:val="footer"/>
    <w:basedOn w:val="Normalny"/>
    <w:link w:val="StopkaZnak"/>
    <w:rsid w:val="001539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539DC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6637</Words>
  <Characters>39828</Characters>
  <Application>Microsoft Office Word</Application>
  <DocSecurity>0</DocSecurity>
  <Lines>331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ŻMIGRODZIE</Company>
  <LinksUpToDate>false</LinksUpToDate>
  <CharactersWithSpaces>46373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uchwalenia miejscowego planu zagospodarowania przestrzennego
dla części obrębu Żmigródek</dc:subject>
  <dc:creator>graba</dc:creator>
  <cp:lastModifiedBy>Patrycja Graba</cp:lastModifiedBy>
  <cp:revision>3</cp:revision>
  <cp:lastPrinted>2026-03-11T16:36:00Z</cp:lastPrinted>
  <dcterms:created xsi:type="dcterms:W3CDTF">2026-03-11T17:36:00Z</dcterms:created>
  <dcterms:modified xsi:type="dcterms:W3CDTF">2026-03-11T16:37:00Z</dcterms:modified>
  <cp:category>Akt prawny</cp:category>
</cp:coreProperties>
</file>