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52C82" w14:textId="77777777" w:rsidR="00A77B3E" w:rsidRDefault="00A77B3E" w:rsidP="000A44A2">
      <w:pPr>
        <w:jc w:val="left"/>
        <w:rPr>
          <w:sz w:val="20"/>
        </w:rPr>
      </w:pPr>
    </w:p>
    <w:p w14:paraId="43F97029" w14:textId="77777777" w:rsidR="00A77B3E" w:rsidRDefault="006A3D9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5350B52D" w14:textId="77777777" w:rsidR="00A77B3E" w:rsidRDefault="006A3D93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5A4368D8" w14:textId="77777777" w:rsidR="00A77B3E" w:rsidRDefault="006A3D93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Laskowa</w:t>
      </w:r>
    </w:p>
    <w:p w14:paraId="671A1D14" w14:textId="77777777" w:rsidR="00A77B3E" w:rsidRDefault="006A3D93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</w:t>
      </w:r>
      <w:r>
        <w:br/>
        <w:t>(</w:t>
      </w:r>
      <w:proofErr w:type="spellStart"/>
      <w:r>
        <w:t>t.j</w:t>
      </w:r>
      <w:proofErr w:type="spellEnd"/>
      <w:r>
        <w:t xml:space="preserve">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0007.XI.95.2025 Rady Miejskiej w Żmigrodzie z dnia 29 stycznia 2025 r. w sprawie przystąpienia do sporządzenia miejscowego planu zagospodarowania przestrzennego dla części obrębu Laskowa, po stwierdzeniu, że plan nie narusza Studium uwarunkowań i kierunków </w:t>
      </w:r>
      <w:r>
        <w:t>zagospodarowania przestrzennego gminy Żmigród uchwalonego Uchwałą Nr 0007.XVI.156.2025 Rady Miejskiej w Żmigrodzie z dnia 25 września 2025 r., Rada Miejska w Żmigrodzie uchwala co następuje:</w:t>
      </w:r>
    </w:p>
    <w:p w14:paraId="6FDA76B5" w14:textId="77777777" w:rsidR="00A77B3E" w:rsidRDefault="006A3D93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2B08F3EB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Laskowa, obejmujący obszar zawarty w granicach określonych w </w:t>
      </w:r>
      <w:r>
        <w:t>części graficznej planu miejscowego stanowiącej załącznik nr 1 do uchwały.</w:t>
      </w:r>
    </w:p>
    <w:p w14:paraId="11824315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4D5445C2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3505081B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1D14CB7A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41CECEBA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35DD9362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106BD9F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1495978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</w:t>
      </w:r>
    </w:p>
    <w:p w14:paraId="49E2AB6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17D638FB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budynki, przy czym:</w:t>
      </w:r>
    </w:p>
    <w:p w14:paraId="1054AF4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sytuowane główną kalenicą równolegle w stosunku do obowiązującej linii zabudowy należy lokalizować w taki sposób, aby elewacja frontowa była położona na obowiązującej linii zabudowy na odcinku co najmniej 70% długości tej elewacji;</w:t>
      </w:r>
    </w:p>
    <w:p w14:paraId="1BD421B0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sytuowane główną kalenicą nierównolegle, z dopuszczalnym odchyleniem w zakresie od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w stosunku do obowiązującej linii zabudowy, należy lokalizować w taki sposób, aby najbardziej wysunięty narożnik budynku był styczny do obowiązującej linii zabudowy,</w:t>
      </w:r>
    </w:p>
    <w:p w14:paraId="341D24F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zasadzie tej nie podlegają:</w:t>
      </w:r>
    </w:p>
    <w:p w14:paraId="5D1F20BE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nowe budynki, które lokalizowane będą w odległości większej niż 20 </w:t>
      </w:r>
      <w:r>
        <w:rPr>
          <w:color w:val="000000"/>
          <w:u w:color="000000"/>
        </w:rPr>
        <w:t>m od obowiązującej linii zabudowy określonej w części graficznej planu miejscowego,</w:t>
      </w:r>
    </w:p>
    <w:p w14:paraId="0E38082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infrastruktury technicznej,</w:t>
      </w:r>
    </w:p>
    <w:p w14:paraId="169D353B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280FDE58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03D19B82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podziemne części budynków,</w:t>
      </w:r>
    </w:p>
    <w:p w14:paraId="1B476CEC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1E2A510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58737BB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615D22B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4D08E7FF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69B8F99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784C6C39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26E0BA66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 ustalenia oznaczone na części graficznej planu miejscowego:</w:t>
      </w:r>
    </w:p>
    <w:p w14:paraId="165B9FEB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planem miejscowym,</w:t>
      </w:r>
    </w:p>
    <w:p w14:paraId="5412AB13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linia rozgraniczająca tereny o różnym przeznaczeniu lub różnych zasadach zagospodarowania,</w:t>
      </w:r>
    </w:p>
    <w:p w14:paraId="6B39D44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nieprzekraczalna linia zabudowy,</w:t>
      </w:r>
    </w:p>
    <w:p w14:paraId="2491F34D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obowiązująca linia zabudowy,</w:t>
      </w:r>
    </w:p>
    <w:p w14:paraId="0E2F915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symbole i oznaczenia graficzne wraz z numeracją określające przeznaczenie terenów,</w:t>
      </w:r>
    </w:p>
    <w:p w14:paraId="51E76B34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strefa „B” ochrony konserwatorskiej,</w:t>
      </w:r>
    </w:p>
    <w:p w14:paraId="3608975D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strefa „K” ochrony konserwatorskiej,</w:t>
      </w:r>
    </w:p>
    <w:p w14:paraId="02A38CBA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strefa „OW” ochrony konserwatorskiej,</w:t>
      </w:r>
    </w:p>
    <w:p w14:paraId="575A690D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obiekt ujęty w gminnej ewidencji zabytków,</w:t>
      </w:r>
    </w:p>
    <w:p w14:paraId="427CFB61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stanowisko archeologiczne,</w:t>
      </w:r>
    </w:p>
    <w:p w14:paraId="4FC4990C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pas technologiczny napowietrznej linii elektroenergetycznej niskiego napięcia,</w:t>
      </w:r>
    </w:p>
    <w:p w14:paraId="44302EE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pas technologiczny napowietrznej linii elektroenergetycznej średniego napięcia;</w:t>
      </w:r>
    </w:p>
    <w:p w14:paraId="07847A6A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miejscowego, w tym zlokalizowane poza granicą obszaru objętego planem miejscowym, są oznaczeniami informacyjnymi, niestanowiącymi ustaleń planu miejscowego.</w:t>
      </w:r>
    </w:p>
    <w:p w14:paraId="0058D8DA" w14:textId="77777777" w:rsidR="00A77B3E" w:rsidRDefault="006A3D9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6B83DA57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3C5C2FD2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37A3690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1300EDF0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MN-U, MN-UT, ML, RZM </w:t>
      </w:r>
      <w:r>
        <w:rPr>
          <w:color w:val="000000"/>
          <w:u w:color="000000"/>
        </w:rPr>
        <w:t>dopuszcza się:</w:t>
      </w:r>
    </w:p>
    <w:p w14:paraId="25B4D31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251347C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6FB5E4D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301867B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334EC0A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6F4187DA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terenie oznaczonego w części graficznej planu miejscowego symbolem </w:t>
      </w:r>
      <w:r>
        <w:rPr>
          <w:b/>
          <w:color w:val="000000"/>
          <w:u w:color="000000"/>
        </w:rPr>
        <w:t xml:space="preserve">PEF </w:t>
      </w:r>
      <w:r>
        <w:rPr>
          <w:color w:val="000000"/>
          <w:u w:color="000000"/>
        </w:rPr>
        <w:t>dopuszcza się:</w:t>
      </w:r>
    </w:p>
    <w:p w14:paraId="4005B77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365B76F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6DF0BB4C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place manewrowe;</w:t>
      </w:r>
    </w:p>
    <w:p w14:paraId="474E4852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 terenach oznaczonych w </w:t>
      </w:r>
      <w:r>
        <w:rPr>
          <w:color w:val="000000"/>
          <w:u w:color="000000"/>
        </w:rPr>
        <w:t xml:space="preserve">części graficznej planu miejscowego symbolami </w:t>
      </w:r>
      <w:r>
        <w:rPr>
          <w:b/>
          <w:color w:val="000000"/>
          <w:u w:color="000000"/>
        </w:rPr>
        <w:t>KDL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2139596B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3028195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przydrożną;</w:t>
      </w:r>
    </w:p>
    <w:p w14:paraId="0D61E72B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 terenach oznaczonych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7FEE230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6DC3A00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04DF4BEB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0570375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>WS</w:t>
      </w:r>
      <w:r>
        <w:rPr>
          <w:color w:val="000000"/>
          <w:u w:color="000000"/>
        </w:rPr>
        <w:t xml:space="preserve"> dopuszcza się:</w:t>
      </w:r>
    </w:p>
    <w:p w14:paraId="3D07A43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urządzenia wodne zgodnie z przepisami odrębnymi,</w:t>
      </w:r>
    </w:p>
    <w:p w14:paraId="6934119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mostowe,</w:t>
      </w:r>
    </w:p>
    <w:p w14:paraId="0D92F95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przepusty,</w:t>
      </w:r>
    </w:p>
    <w:p w14:paraId="5A74364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obiekty i urządzenia infrastruktury technicznej;</w:t>
      </w:r>
    </w:p>
    <w:p w14:paraId="37531A0F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KP, ZN </w:t>
      </w:r>
      <w:r>
        <w:rPr>
          <w:color w:val="000000"/>
          <w:u w:color="000000"/>
        </w:rPr>
        <w:t xml:space="preserve">dopuszcza się obiekty i urządzenia infrastruktury technicznej; </w:t>
      </w:r>
    </w:p>
    <w:p w14:paraId="0A1B8A3E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 zakresie geometrii dachu: dopuszcza się odstępstwo od parametrów ustalonych w przepisach szczegółowych poprzez zastosowanie dowolnych parametrów na powierzchni nie większej niż 10 % całego dachu w strefach „B” oraz „K” ochrony konserwatorskiej i nie większej niż 30 % całego dachu poza strefami ochrony konserwatorskiej.</w:t>
      </w:r>
    </w:p>
    <w:p w14:paraId="5D93295D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71A6C181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255A6135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17500519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wyłączeniem:</w:t>
      </w:r>
    </w:p>
    <w:p w14:paraId="73E05790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inwestycji z zakresu infrastruktury technicznej,</w:t>
      </w:r>
    </w:p>
    <w:p w14:paraId="008C1418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odnawialnych źródeł energii, w granicach terenu oznaczonego w części graficznej planu miejscowego symbolem 1PEF,</w:t>
      </w:r>
    </w:p>
    <w:p w14:paraId="18EB9C09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21CDCB68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MN-U, MN-UT – jak dla terenów mieszkaniowo-usługowych,</w:t>
      </w:r>
    </w:p>
    <w:p w14:paraId="6F01145B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ML – jak dla terenów rekreacyjno-wypoczynkowych,</w:t>
      </w:r>
    </w:p>
    <w:p w14:paraId="1776D8C4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45669013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przyrody i krajobrazu oraz zasad kształtowania krajobrazu, z uwagi na brak potrzeby określania.</w:t>
      </w:r>
    </w:p>
    <w:p w14:paraId="0AB1FD93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</w:t>
      </w:r>
      <w:r>
        <w:rPr>
          <w:b/>
          <w:color w:val="000000"/>
          <w:u w:color="000000"/>
        </w:rPr>
        <w:t>tym krajobrazów kulturowych, oraz dóbr kultury współczesnej:</w:t>
      </w:r>
    </w:p>
    <w:p w14:paraId="6959AD9E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30666F99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której obowiązują następujące wymogi:</w:t>
      </w:r>
    </w:p>
    <w:p w14:paraId="64D41B51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3828F15B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15BFFE5D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018DE226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blachy trapezowej),</w:t>
      </w:r>
    </w:p>
    <w:p w14:paraId="3B296D4C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3F52DDDE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69166A1C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1BF1938F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1DB69132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7FECE023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wolnostojących silosów, dopuszcza się silosy obudowane</w:t>
      </w:r>
      <w:r>
        <w:rPr>
          <w:color w:val="000000"/>
          <w:u w:color="000000"/>
        </w:rPr>
        <w:br/>
        <w:t>w budynkach,</w:t>
      </w:r>
    </w:p>
    <w:p w14:paraId="3D5F88A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Laskowa, ujętym w gminnej ewidencji zabytków, w </w:t>
      </w:r>
      <w:r>
        <w:rPr>
          <w:color w:val="000000"/>
          <w:u w:color="000000"/>
        </w:rPr>
        <w:t>której obowiązują następujące wymogi:</w:t>
      </w:r>
    </w:p>
    <w:p w14:paraId="150AB59B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użytych tradycyjnych materiałów budowlanych, starannie wpisując się w krajobraz kulturowy,</w:t>
      </w:r>
    </w:p>
    <w:p w14:paraId="56E5B899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45E7B5C0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65345D5D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24EEB81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75191522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występuje obiekt ujęty w gminnej ewidencji zabytków:</w:t>
      </w:r>
    </w:p>
    <w:p w14:paraId="5E4C9DD4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mieszkalno-gospodarczy, 2 poł. XIX w., Laskowa 16,</w:t>
      </w:r>
    </w:p>
    <w:p w14:paraId="3C4FBE2F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wymienionym zabytkowym obiekcie obowiązują następujące wymogi:</w:t>
      </w:r>
    </w:p>
    <w:p w14:paraId="5A3FE7B1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</w:t>
      </w:r>
      <w:r>
        <w:rPr>
          <w:color w:val="000000"/>
          <w:u w:color="000000"/>
        </w:rPr>
        <w:t>geometrię dachu oraz zastosować tradycyjne materiały budowlane, w tym rodzaj, typ i kolor pokrycia dachowego,</w:t>
      </w:r>
    </w:p>
    <w:p w14:paraId="60A84A3D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w zniszczonych fragmentach odtworzyć historyczny detal architektoniczny,</w:t>
      </w:r>
    </w:p>
    <w:p w14:paraId="3334F74E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12002974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2B4310DF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 i zachowane elementy wystroju i wyposażenia,</w:t>
      </w:r>
    </w:p>
    <w:p w14:paraId="46EB0AA9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4204D275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 projektowane instalacji technicznych projektować i montować z zachowaniem wartości zabytkowych obiektów,</w:t>
      </w:r>
    </w:p>
    <w:p w14:paraId="4E0A9CE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08325849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występuje następujące stanowisko archeologiczne: 1/100/70-26 AZP: Ślad osadnictwa, Epoka kamienia;</w:t>
      </w:r>
    </w:p>
    <w:p w14:paraId="0E71A07F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zasięgu znajdującego się na terenie objętym planem chronionego stanowiska archeologicznego dla inwestycji związanych z pracami ziemnymi, wymagane jest przeprowadzenie badań archeologicznych, zgodnie z przepisami odrębnymi,</w:t>
      </w:r>
    </w:p>
    <w:p w14:paraId="3826CF8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43F51C8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2D544BC0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15EABD0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</w:t>
      </w:r>
      <w:r>
        <w:rPr>
          <w:color w:val="000000"/>
          <w:u w:color="000000"/>
        </w:rPr>
        <w:t>sposobów zagospodarowania terenów górniczych, z uwagi na brak takich terenów;</w:t>
      </w:r>
    </w:p>
    <w:p w14:paraId="6962527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szczególnego zagrożenia powodzią oraz obszarów osuwania się mas ziemnych, z uwagi na brak takich obszarów;</w:t>
      </w:r>
    </w:p>
    <w:p w14:paraId="7C027D6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priorytetowych,</w:t>
      </w:r>
    </w:p>
    <w:p w14:paraId="069231B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3189E3AB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11EFD4B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MN-U, MN-UT, ML:</w:t>
      </w:r>
    </w:p>
    <w:p w14:paraId="38C02FCC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3FF66B3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6B7D03F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360DD76C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terenów oznaczonych symbolami PEF:</w:t>
      </w:r>
    </w:p>
    <w:p w14:paraId="4C0E292B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2000m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564E35C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1172075C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5E9115C2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7EFC9C4C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3C05143C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 m,</w:t>
      </w:r>
    </w:p>
    <w:p w14:paraId="29E608C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 </w:t>
      </w:r>
    </w:p>
    <w:p w14:paraId="78EAAE79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5E345A68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197D2AC4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71DE52A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</w:t>
      </w:r>
    </w:p>
    <w:p w14:paraId="7915CC5F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544E5484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5C0D3D7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02FC058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196DCDB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247990A5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66AEC60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59F014AB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6A55D64F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</w:t>
      </w:r>
      <w:r>
        <w:rPr>
          <w:color w:val="000000"/>
          <w:u w:color="000000"/>
        </w:rPr>
        <w:t>sieci elektroenergetycznej, na zasadach określonych w przepisach odrębnych,</w:t>
      </w:r>
    </w:p>
    <w:p w14:paraId="7A0B8E0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odnawialnych źródeł energii, na zasadach określonych w przepisach odrębnych,</w:t>
      </w:r>
    </w:p>
    <w:p w14:paraId="2853BF7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2FE5F374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W zakresie zaopatrzenia w gaz ustala się:</w:t>
      </w:r>
    </w:p>
    <w:p w14:paraId="23B9893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</w:t>
      </w:r>
      <w:r>
        <w:rPr>
          <w:color w:val="000000"/>
          <w:u w:color="000000"/>
        </w:rPr>
        <w:t>dystrybucyjnej sieci gazowej, na zasadach określonych w przepisach odrębnych,</w:t>
      </w:r>
    </w:p>
    <w:p w14:paraId="1FD13E20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394907E0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41BFE355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79810E3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670C3C9C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gospodarowania odpadami ustala się: gospodarowanie odpadami na zasadach określonych w przepisach odrębnych;</w:t>
      </w:r>
    </w:p>
    <w:p w14:paraId="5B7E0FA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0E2B517D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Ustalenia określone w § 9 ust. 1–6 mogą występować pojedynczo lub łącznie.</w:t>
      </w:r>
    </w:p>
    <w:p w14:paraId="2EE1D764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liczby miejsc do parkowania ustala się następujące zasady:</w:t>
      </w:r>
    </w:p>
    <w:p w14:paraId="2910ECE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letniskowej lub rekreacji indywidualnej oraz zabudowy zagrodowej obowiązują minimalnie 2 miejsca do parkowania na 1 lokal mieszkalny,</w:t>
      </w:r>
    </w:p>
    <w:p w14:paraId="095CF7AB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4E9612D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pozostałych terenów ustala się brak konieczności wyznaczania miejsc do parkowania,</w:t>
      </w:r>
    </w:p>
    <w:p w14:paraId="6E5EADE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41418BC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0A9BE84D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1A2B7C62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114F8E1A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340B2E6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2BFFC650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0E67BAF0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3C7B54CA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6270ADC9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17C7E12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6A151C36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lokalnej oznaczonej w części graficznej planu miejscowego symbolem 1KDL,</w:t>
      </w:r>
    </w:p>
    <w:p w14:paraId="46E8204E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dojazdowej oznaczonej w </w:t>
      </w:r>
      <w:r>
        <w:rPr>
          <w:color w:val="000000"/>
          <w:u w:color="000000"/>
        </w:rPr>
        <w:t>części graficznej planu miejscowego symbolem 1KDD,</w:t>
      </w:r>
    </w:p>
    <w:p w14:paraId="522C1E43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 1KR–6KR,</w:t>
      </w:r>
    </w:p>
    <w:p w14:paraId="0191C696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m,</w:t>
      </w:r>
    </w:p>
    <w:p w14:paraId="507C1E97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44AE663E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7195203A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01024AC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4FFAA75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5DF30E5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w tym obowiązuje szerokość pasa wycinki podstawowej drzew na trasie linii zgodnie z przepisami odrębnymi;</w:t>
      </w:r>
    </w:p>
    <w:p w14:paraId="507A4BCA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obowiązują.</w:t>
      </w:r>
    </w:p>
    <w:p w14:paraId="7EBA6DF4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granicach planu za przestrzeń publiczną uznaje się tereny oznaczone w części graficznej planu miejscowego symbolami KDL oraz KDD, dla których obowiązują zasady ustalone w § 4 pkt 4) oraz ustaleniach szczegółowych.</w:t>
      </w:r>
    </w:p>
    <w:p w14:paraId="51192738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4D0279AB" w14:textId="77777777" w:rsidR="00A77B3E" w:rsidRDefault="006A3D9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7302654B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jednorodzinnej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1MN-U, </w:t>
      </w:r>
      <w:r>
        <w:rPr>
          <w:color w:val="000000"/>
          <w:u w:color="000000"/>
        </w:rPr>
        <w:t>ustala się:</w:t>
      </w:r>
    </w:p>
    <w:p w14:paraId="3DF4D5B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74B7EE3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2,</w:t>
      </w:r>
    </w:p>
    <w:p w14:paraId="4F3A0C1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2;</w:t>
      </w:r>
    </w:p>
    <w:p w14:paraId="00EFC2D4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0911F00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1031C1B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5FE15CE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63B64D84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3C8B4A4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5C6E2CD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59F7A98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0D2FEF8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0.4,</w:t>
      </w:r>
    </w:p>
    <w:p w14:paraId="030499BC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628A81A9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769D0B5B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poza strefami ochrony konserwatorskiej:</w:t>
      </w:r>
    </w:p>
    <w:p w14:paraId="01C9A689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30068EA4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</w:t>
      </w:r>
      <w:r>
        <w:rPr>
          <w:color w:val="000000"/>
          <w:u w:color="000000"/>
        </w:rPr>
        <w:t>dachach dwuspadowych lub wielospadowych,</w:t>
      </w:r>
    </w:p>
    <w:p w14:paraId="069AFE4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0318B179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655D28BA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41F0432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394C5ED8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41DF6919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32CFBBC0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66627C28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6B41E85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A7B3B54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449FEABE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45FD6413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4F4F9B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51C4F3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§9 pkt 10),</w:t>
      </w:r>
    </w:p>
    <w:p w14:paraId="0A172515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34F64A0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b).</w:t>
      </w:r>
    </w:p>
    <w:p w14:paraId="6782DF9C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 turystyki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1MN-UT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10MN-UT </w:t>
      </w:r>
      <w:r>
        <w:rPr>
          <w:color w:val="000000"/>
          <w:u w:color="000000"/>
        </w:rPr>
        <w:t xml:space="preserve">oraz </w:t>
      </w:r>
      <w:r>
        <w:rPr>
          <w:b/>
          <w:color w:val="000000"/>
          <w:u w:color="000000"/>
        </w:rPr>
        <w:t xml:space="preserve">12MN-UT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15MN-UT, </w:t>
      </w:r>
      <w:r>
        <w:rPr>
          <w:color w:val="000000"/>
          <w:u w:color="000000"/>
        </w:rPr>
        <w:t>ustala się:</w:t>
      </w:r>
    </w:p>
    <w:p w14:paraId="22C9412F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1DD675E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4776D45F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turystyki</w:t>
      </w:r>
      <w:r>
        <w:rPr>
          <w:color w:val="000000"/>
          <w:u w:color="000000"/>
        </w:rPr>
        <w:t>;</w:t>
      </w:r>
    </w:p>
    <w:p w14:paraId="34BE2118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7D0874B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4872E9B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7B7C41A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68F09F41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721A61F1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792C58E0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55A932B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ECCB3F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3E20A7F4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05D80F7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minimalny udział powierzchni biologicznie czynnej: 0.5,</w:t>
      </w:r>
    </w:p>
    <w:p w14:paraId="4CD6EBB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6C1D2231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34B5AEC8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38FF0799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2AD3435D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05CC04E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7EE4DBA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CCB3EF4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C3AF3C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4CA6EAAA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3A855FA3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29B2CEED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4BB9245A" w14:textId="77777777" w:rsidR="00A77B3E" w:rsidRDefault="006A3D9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18B46AC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C707B0D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22D951C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9BE48E3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3FEEDA7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5EFFA8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§9 pkt 10),</w:t>
      </w:r>
    </w:p>
    <w:p w14:paraId="226C001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244C386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1B1D0DFB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obiektu ujętego w gminnej i </w:t>
      </w:r>
      <w:r>
        <w:rPr>
          <w:color w:val="000000"/>
          <w:u w:color="000000"/>
        </w:rPr>
        <w:t>wojewódzkiej ewidencji zabytków obowiązują ustalenia §6 pkt 1) lit. c).</w:t>
      </w:r>
    </w:p>
    <w:p w14:paraId="44AE16FF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jednorodzinnej lub usług turystyki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11MN-UT, </w:t>
      </w:r>
      <w:r>
        <w:rPr>
          <w:color w:val="000000"/>
          <w:u w:color="000000"/>
        </w:rPr>
        <w:t>ustala się:</w:t>
      </w:r>
    </w:p>
    <w:p w14:paraId="65B5130B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6EA8881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527A37F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turystyki</w:t>
      </w:r>
      <w:r>
        <w:rPr>
          <w:color w:val="000000"/>
          <w:u w:color="000000"/>
        </w:rPr>
        <w:t>;</w:t>
      </w:r>
    </w:p>
    <w:p w14:paraId="35C2F081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14:paraId="1291478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6A72B90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wód powierzchniowych śródlądowych</w:t>
      </w:r>
      <w:r>
        <w:rPr>
          <w:color w:val="000000"/>
          <w:u w:color="000000"/>
        </w:rPr>
        <w:t>;</w:t>
      </w:r>
    </w:p>
    <w:p w14:paraId="4E30FBFD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483FE67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567916A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7E660F8D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2C6F9819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502AC4EF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3D1D41A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3C2A3A9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0D0D8FC5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5C513854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32EADE7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77651694" w14:textId="77777777" w:rsidR="00A77B3E" w:rsidRDefault="006A3D93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7C201111" w14:textId="77777777" w:rsidR="00A77B3E" w:rsidRDefault="006A3D93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753BA93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CD6ABEC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228E3E99" w14:textId="77777777" w:rsidR="00A77B3E" w:rsidRDefault="006A3D93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46044075" w14:textId="77777777" w:rsidR="00A77B3E" w:rsidRDefault="006A3D93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2C29B048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65C8396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630EBA2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DCC6D09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767FBB2C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D3C7D13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§9 pkt 10).</w:t>
      </w:r>
    </w:p>
    <w:p w14:paraId="3496FF92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letniskowej lub rekreacji indywidualnej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1ML, </w:t>
      </w:r>
      <w:r>
        <w:rPr>
          <w:color w:val="000000"/>
          <w:u w:color="000000"/>
        </w:rPr>
        <w:t>ustala się:</w:t>
      </w:r>
    </w:p>
    <w:p w14:paraId="1FD74A53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zabudowy letniskowej lub rekreacji indywidualnej</w:t>
      </w:r>
      <w:r>
        <w:rPr>
          <w:color w:val="000000"/>
          <w:u w:color="000000"/>
        </w:rPr>
        <w:t>;</w:t>
      </w:r>
    </w:p>
    <w:p w14:paraId="214B142B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58516A1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65F1413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4891E71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0.3,</w:t>
      </w:r>
    </w:p>
    <w:p w14:paraId="205AE3B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0.15,</w:t>
      </w:r>
    </w:p>
    <w:p w14:paraId="59DF1AE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0.55,</w:t>
      </w:r>
    </w:p>
    <w:p w14:paraId="5F1802EE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m,</w:t>
      </w:r>
    </w:p>
    <w:p w14:paraId="37355DB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15584B76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7753A084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dachów płaskich: dowolne pokrycie dachu,</w:t>
      </w:r>
    </w:p>
    <w:p w14:paraId="5E41E010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203DA63F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81F8FF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DE2985F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28FC63C8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758CBF74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399B024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§9 pkt 10).</w:t>
      </w:r>
    </w:p>
    <w:p w14:paraId="2A07173E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elektrowni słonecznej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1PEF </w:t>
      </w:r>
      <w:r>
        <w:rPr>
          <w:color w:val="000000"/>
          <w:u w:color="000000"/>
        </w:rPr>
        <w:t>ustala się:</w:t>
      </w:r>
    </w:p>
    <w:p w14:paraId="6D1367E8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elektrowni słonecznej</w:t>
      </w:r>
      <w:r>
        <w:rPr>
          <w:color w:val="000000"/>
          <w:u w:color="000000"/>
        </w:rPr>
        <w:t>;</w:t>
      </w:r>
    </w:p>
    <w:p w14:paraId="1C862CF0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6276BE30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06B30D3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B3CCC05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0.3,</w:t>
      </w:r>
    </w:p>
    <w:p w14:paraId="566BAC97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0.3,</w:t>
      </w:r>
    </w:p>
    <w:p w14:paraId="7BC8FAD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684C653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55D30D7F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budynków: 5 m,</w:t>
      </w:r>
    </w:p>
    <w:p w14:paraId="1CB9B547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budowli: 12 m,</w:t>
      </w:r>
    </w:p>
    <w:p w14:paraId="1B6C2D1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dowolne formy dachu,</w:t>
      </w:r>
    </w:p>
    <w:p w14:paraId="200AFCC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terenu objętego strefą „K” ochrony konserwatorskiej obowiązują ustalenia §6 pkt 1) lit. b).</w:t>
      </w:r>
    </w:p>
    <w:p w14:paraId="609089A7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lokalnej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1KDL,  </w:t>
      </w:r>
      <w:r>
        <w:rPr>
          <w:color w:val="000000"/>
          <w:u w:color="000000"/>
        </w:rPr>
        <w:t>ustala się:</w:t>
      </w:r>
    </w:p>
    <w:p w14:paraId="23FDB552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lokalnej</w:t>
      </w:r>
      <w:r>
        <w:rPr>
          <w:color w:val="000000"/>
          <w:u w:color="000000"/>
        </w:rPr>
        <w:t>;</w:t>
      </w:r>
    </w:p>
    <w:p w14:paraId="5721C29C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4533C0E0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dojazdowej</w:t>
      </w:r>
      <w:r>
        <w:rPr>
          <w:color w:val="000000"/>
          <w:u w:color="000000"/>
        </w:rPr>
        <w:t>, oznaczonego w części graficznej planu miejscowego symbolem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1KDD, </w:t>
      </w:r>
      <w:r>
        <w:rPr>
          <w:color w:val="000000"/>
          <w:u w:color="000000"/>
        </w:rPr>
        <w:t>ustala się:</w:t>
      </w:r>
    </w:p>
    <w:p w14:paraId="6D7B21EC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</w:t>
      </w:r>
      <w:r>
        <w:rPr>
          <w:color w:val="000000"/>
          <w:u w:color="000000"/>
        </w:rPr>
        <w:t>;</w:t>
      </w:r>
    </w:p>
    <w:p w14:paraId="27D13EB1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15ECBC4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6KR</w:t>
      </w:r>
      <w:r>
        <w:rPr>
          <w:color w:val="000000"/>
          <w:u w:color="000000"/>
        </w:rPr>
        <w:t xml:space="preserve"> ustala się:</w:t>
      </w:r>
    </w:p>
    <w:p w14:paraId="4CBBF24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614A39A0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779192ED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komunikacji pieszo-rowerowej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1KP, </w:t>
      </w:r>
      <w:r>
        <w:rPr>
          <w:color w:val="000000"/>
          <w:u w:color="000000"/>
        </w:rPr>
        <w:t>ustala się:</w:t>
      </w:r>
    </w:p>
    <w:p w14:paraId="26BE8C34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pieszo-rowerowej</w:t>
      </w:r>
      <w:r>
        <w:rPr>
          <w:color w:val="000000"/>
          <w:u w:color="000000"/>
        </w:rPr>
        <w:t>;</w:t>
      </w:r>
    </w:p>
    <w:p w14:paraId="77157556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</w:t>
      </w:r>
      <w:r>
        <w:rPr>
          <w:color w:val="000000"/>
          <w:u w:color="000000"/>
        </w:rPr>
        <w:t>liniach rozgraniczających zgodnie z częścią graficzną planu miejscowego.</w:t>
      </w:r>
    </w:p>
    <w:p w14:paraId="0D436B44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5RZM,</w:t>
      </w:r>
      <w:r>
        <w:rPr>
          <w:color w:val="000000"/>
          <w:u w:color="000000"/>
        </w:rPr>
        <w:t xml:space="preserve"> ustala się:</w:t>
      </w:r>
    </w:p>
    <w:p w14:paraId="6E76CF77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5F01F82C" w14:textId="77777777" w:rsidR="00A77B3E" w:rsidRDefault="006A3D9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699A9835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ACE1C7E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027F58E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803EBBB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69771FAD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1A0727A4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1F888AEF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5446A9D2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35EDC391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D746930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</w:t>
      </w:r>
      <w:r>
        <w:rPr>
          <w:color w:val="000000"/>
          <w:u w:color="000000"/>
        </w:rPr>
        <w:t>kolorach pastelowych zgaszonych w odcieniach bieli, beżu lub szarości,</w:t>
      </w:r>
    </w:p>
    <w:p w14:paraId="75F45CA2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A9298FB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5039ED7" w14:textId="77777777" w:rsidR="00A77B3E" w:rsidRDefault="006A3D9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6F166CA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§9 pkt 10),</w:t>
      </w:r>
    </w:p>
    <w:p w14:paraId="46010E34" w14:textId="77777777" w:rsidR="00A77B3E" w:rsidRDefault="006A3D9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 pkt 1) lit. a),</w:t>
      </w:r>
    </w:p>
    <w:p w14:paraId="318AAAEC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wód powierzchniowych śródlądowych,</w:t>
      </w:r>
      <w:r>
        <w:rPr>
          <w:color w:val="000000"/>
          <w:u w:color="000000"/>
        </w:rPr>
        <w:t xml:space="preserve"> oznaczonego w części graficznej planu miejscowego symbolem </w:t>
      </w:r>
      <w:r>
        <w:rPr>
          <w:b/>
          <w:color w:val="000000"/>
          <w:u w:color="000000"/>
        </w:rPr>
        <w:t>1WS,</w:t>
      </w:r>
      <w:r>
        <w:rPr>
          <w:color w:val="000000"/>
          <w:u w:color="000000"/>
        </w:rPr>
        <w:t xml:space="preserve"> ustala się przeznaczenie: </w:t>
      </w:r>
      <w:r>
        <w:rPr>
          <w:b/>
          <w:color w:val="000000"/>
          <w:u w:color="000000"/>
        </w:rPr>
        <w:t>teren wód powierzchniowych śródlądowych.</w:t>
      </w:r>
    </w:p>
    <w:p w14:paraId="2FCBE4E5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terenu zieleni naturalnej, </w:t>
      </w:r>
      <w:r>
        <w:rPr>
          <w:color w:val="000000"/>
          <w:u w:color="000000"/>
        </w:rPr>
        <w:t xml:space="preserve">oznaczonego w części graficznej planu miejscowego symbolem </w:t>
      </w:r>
      <w:r>
        <w:rPr>
          <w:b/>
          <w:color w:val="000000"/>
          <w:u w:color="000000"/>
        </w:rPr>
        <w:t xml:space="preserve">1ZN, </w:t>
      </w:r>
      <w:r>
        <w:rPr>
          <w:color w:val="000000"/>
          <w:u w:color="000000"/>
        </w:rPr>
        <w:t xml:space="preserve">ustala się przeznaczenie: </w:t>
      </w:r>
      <w:r>
        <w:rPr>
          <w:b/>
          <w:color w:val="000000"/>
          <w:u w:color="000000"/>
        </w:rPr>
        <w:t xml:space="preserve">teren zieleni naturalnej. </w:t>
      </w:r>
    </w:p>
    <w:p w14:paraId="3C18F1C5" w14:textId="77777777" w:rsidR="00A77B3E" w:rsidRDefault="006A3D9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23FFDE79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Wykonanie uchwały powierza się Burmistrzowi Gminy Żmigród.</w:t>
      </w:r>
    </w:p>
    <w:p w14:paraId="2A067B82" w14:textId="77777777" w:rsidR="00A77B3E" w:rsidRDefault="006A3D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49C45" w14:textId="77777777" w:rsidR="006A3D93" w:rsidRDefault="006A3D93">
      <w:r>
        <w:separator/>
      </w:r>
    </w:p>
  </w:endnote>
  <w:endnote w:type="continuationSeparator" w:id="0">
    <w:p w14:paraId="650E73AC" w14:textId="77777777" w:rsidR="006A3D93" w:rsidRDefault="006A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4902C" w14:textId="77777777" w:rsidR="000A44A2" w:rsidRDefault="000A44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17633" w14:paraId="66D187B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A91A160" w14:textId="59466481" w:rsidR="00D17633" w:rsidRDefault="000A44A2">
          <w:pPr>
            <w:jc w:val="left"/>
            <w:rPr>
              <w:sz w:val="18"/>
            </w:rPr>
          </w:pPr>
          <w:r>
            <w:rPr>
              <w:sz w:val="18"/>
              <w:lang w:val="en-US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E888B7" w14:textId="77777777" w:rsidR="00D17633" w:rsidRDefault="006A3D9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A44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F50F411" w14:textId="77777777" w:rsidR="00D17633" w:rsidRDefault="00D17633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4139" w14:textId="77777777" w:rsidR="000A44A2" w:rsidRDefault="000A4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9A046" w14:textId="77777777" w:rsidR="006A3D93" w:rsidRDefault="006A3D93">
      <w:r>
        <w:separator/>
      </w:r>
    </w:p>
  </w:footnote>
  <w:footnote w:type="continuationSeparator" w:id="0">
    <w:p w14:paraId="308C6A23" w14:textId="77777777" w:rsidR="006A3D93" w:rsidRDefault="006A3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7AE8A" w14:textId="77777777" w:rsidR="000A44A2" w:rsidRDefault="000A4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9BCA6" w14:textId="77777777" w:rsidR="000A44A2" w:rsidRDefault="000A44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CF60D" w14:textId="77777777" w:rsidR="000A44A2" w:rsidRDefault="000A44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44A2"/>
    <w:rsid w:val="000C0DFD"/>
    <w:rsid w:val="006A3D93"/>
    <w:rsid w:val="007B703D"/>
    <w:rsid w:val="00A77B3E"/>
    <w:rsid w:val="00CA2A55"/>
    <w:rsid w:val="00D1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3181F61A"/>
  <w15:docId w15:val="{DBA7B919-55E0-4A48-AF7F-662437009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A44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A44A2"/>
    <w:rPr>
      <w:sz w:val="22"/>
      <w:szCs w:val="24"/>
    </w:rPr>
  </w:style>
  <w:style w:type="paragraph" w:styleId="Stopka">
    <w:name w:val="footer"/>
    <w:basedOn w:val="Normalny"/>
    <w:link w:val="StopkaZnak"/>
    <w:rsid w:val="000A44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44A2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4732</Words>
  <Characters>28394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33060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Laskowa</dc:subject>
  <dc:creator>graba</dc:creator>
  <cp:lastModifiedBy>Patrycja Graba</cp:lastModifiedBy>
  <cp:revision>3</cp:revision>
  <cp:lastPrinted>2026-04-07T11:05:00Z</cp:lastPrinted>
  <dcterms:created xsi:type="dcterms:W3CDTF">2026-04-07T13:04:00Z</dcterms:created>
  <dcterms:modified xsi:type="dcterms:W3CDTF">2026-04-07T11:05:00Z</dcterms:modified>
  <cp:category>Akt prawny</cp:category>
</cp:coreProperties>
</file>